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201A3F" w14:textId="77777777" w:rsidR="005E322A" w:rsidRPr="007A3028" w:rsidRDefault="001E749D" w:rsidP="005E322A">
      <w:pPr>
        <w:spacing w:after="200" w:line="360" w:lineRule="auto"/>
        <w:jc w:val="right"/>
        <w:rPr>
          <w:rFonts w:ascii="Arial" w:hAnsi="Arial" w:cs="Arial"/>
          <w:sz w:val="21"/>
          <w:szCs w:val="21"/>
        </w:rPr>
      </w:pPr>
      <w:bookmarkStart w:id="0" w:name="_GoBack"/>
      <w:bookmarkEnd w:id="0"/>
      <w:r w:rsidRPr="007A3028">
        <w:rPr>
          <w:rFonts w:ascii="Arial" w:hAnsi="Arial" w:cs="Arial"/>
          <w:sz w:val="21"/>
          <w:szCs w:val="21"/>
        </w:rPr>
        <w:tab/>
      </w:r>
      <w:r w:rsidR="005E322A" w:rsidRPr="007A3028">
        <w:rPr>
          <w:rFonts w:ascii="Arial" w:hAnsi="Arial" w:cs="Arial"/>
          <w:sz w:val="21"/>
          <w:szCs w:val="21"/>
        </w:rPr>
        <w:t xml:space="preserve">Warszawa, </w:t>
      </w:r>
      <w:r w:rsidR="005809E9">
        <w:rPr>
          <w:rFonts w:ascii="Arial" w:hAnsi="Arial" w:cs="Arial"/>
          <w:sz w:val="21"/>
          <w:szCs w:val="21"/>
        </w:rPr>
        <w:t>24</w:t>
      </w:r>
      <w:r w:rsidR="00C2237D" w:rsidRPr="007A3028">
        <w:rPr>
          <w:rFonts w:ascii="Arial" w:hAnsi="Arial" w:cs="Arial"/>
          <w:sz w:val="21"/>
          <w:szCs w:val="21"/>
        </w:rPr>
        <w:t xml:space="preserve"> </w:t>
      </w:r>
      <w:r w:rsidR="0020161A" w:rsidRPr="007A3028">
        <w:rPr>
          <w:rFonts w:ascii="Arial" w:hAnsi="Arial" w:cs="Arial"/>
          <w:sz w:val="21"/>
          <w:szCs w:val="21"/>
        </w:rPr>
        <w:t>listopada</w:t>
      </w:r>
      <w:r w:rsidR="005B0CFB" w:rsidRPr="007A3028">
        <w:rPr>
          <w:rFonts w:ascii="Arial" w:hAnsi="Arial" w:cs="Arial"/>
          <w:sz w:val="21"/>
          <w:szCs w:val="21"/>
        </w:rPr>
        <w:t xml:space="preserve"> </w:t>
      </w:r>
      <w:r w:rsidR="005A2501" w:rsidRPr="007A3028">
        <w:rPr>
          <w:rFonts w:ascii="Arial" w:hAnsi="Arial" w:cs="Arial"/>
          <w:sz w:val="21"/>
          <w:szCs w:val="21"/>
        </w:rPr>
        <w:t>202</w:t>
      </w:r>
      <w:r w:rsidR="0020161A" w:rsidRPr="007A3028">
        <w:rPr>
          <w:rFonts w:ascii="Arial" w:hAnsi="Arial" w:cs="Arial"/>
          <w:sz w:val="21"/>
          <w:szCs w:val="21"/>
        </w:rPr>
        <w:t>2</w:t>
      </w:r>
      <w:r w:rsidR="005E322A" w:rsidRPr="007A3028">
        <w:rPr>
          <w:rFonts w:ascii="Arial" w:hAnsi="Arial" w:cs="Arial"/>
          <w:sz w:val="21"/>
          <w:szCs w:val="21"/>
        </w:rPr>
        <w:t xml:space="preserve"> r.</w:t>
      </w:r>
    </w:p>
    <w:p w14:paraId="2D9B9D42" w14:textId="77777777" w:rsidR="00A36BBB" w:rsidRPr="007A3028" w:rsidRDefault="001E749D" w:rsidP="005E322A">
      <w:pPr>
        <w:tabs>
          <w:tab w:val="left" w:pos="1336"/>
          <w:tab w:val="left" w:pos="2534"/>
        </w:tabs>
        <w:spacing w:line="260" w:lineRule="exact"/>
        <w:jc w:val="right"/>
        <w:outlineLvl w:val="0"/>
        <w:rPr>
          <w:rFonts w:ascii="Arial" w:hAnsi="Arial" w:cs="Arial"/>
          <w:sz w:val="21"/>
          <w:szCs w:val="21"/>
        </w:rPr>
      </w:pPr>
      <w:r w:rsidRPr="007A3028">
        <w:rPr>
          <w:rFonts w:ascii="Arial" w:hAnsi="Arial" w:cs="Arial"/>
          <w:sz w:val="21"/>
          <w:szCs w:val="21"/>
        </w:rPr>
        <w:tab/>
      </w:r>
    </w:p>
    <w:p w14:paraId="45ECB38F" w14:textId="77777777" w:rsidR="0074461A" w:rsidRPr="007A3028" w:rsidRDefault="0074461A" w:rsidP="00DE3875">
      <w:pPr>
        <w:spacing w:line="260" w:lineRule="exact"/>
        <w:jc w:val="right"/>
        <w:outlineLvl w:val="0"/>
        <w:rPr>
          <w:rFonts w:ascii="Arial" w:hAnsi="Arial" w:cs="Arial"/>
          <w:sz w:val="21"/>
          <w:szCs w:val="21"/>
        </w:rPr>
      </w:pPr>
    </w:p>
    <w:p w14:paraId="24B152D6" w14:textId="77777777" w:rsidR="0074461A" w:rsidRPr="007A3028" w:rsidRDefault="0074461A" w:rsidP="00DE3875">
      <w:pPr>
        <w:spacing w:line="260" w:lineRule="exact"/>
        <w:jc w:val="right"/>
        <w:outlineLvl w:val="0"/>
        <w:rPr>
          <w:rFonts w:ascii="Arial" w:hAnsi="Arial" w:cs="Arial"/>
          <w:sz w:val="21"/>
          <w:szCs w:val="21"/>
        </w:rPr>
      </w:pPr>
    </w:p>
    <w:p w14:paraId="41C3A612" w14:textId="77777777" w:rsidR="001D3754" w:rsidRPr="007A3028" w:rsidRDefault="001D3754" w:rsidP="001D3754">
      <w:pPr>
        <w:spacing w:line="260" w:lineRule="exact"/>
        <w:jc w:val="right"/>
        <w:outlineLvl w:val="0"/>
        <w:rPr>
          <w:rFonts w:ascii="Arial" w:hAnsi="Arial" w:cs="Arial"/>
          <w:sz w:val="21"/>
          <w:szCs w:val="21"/>
        </w:rPr>
      </w:pPr>
    </w:p>
    <w:p w14:paraId="09C6E193" w14:textId="77777777" w:rsidR="005809E9" w:rsidRDefault="005809E9" w:rsidP="005809E9">
      <w:pPr>
        <w:spacing w:line="260" w:lineRule="exact"/>
        <w:outlineLvl w:val="0"/>
        <w:rPr>
          <w:rFonts w:ascii="Arial" w:hAnsi="Arial" w:cs="Arial"/>
          <w:sz w:val="21"/>
          <w:szCs w:val="21"/>
        </w:rPr>
      </w:pPr>
    </w:p>
    <w:p w14:paraId="2DC8807F" w14:textId="77777777" w:rsidR="001D3754" w:rsidRDefault="005809E9" w:rsidP="005F6C18">
      <w:pPr>
        <w:spacing w:line="360" w:lineRule="auto"/>
        <w:contextualSpacing/>
        <w:outlineLvl w:val="0"/>
        <w:rPr>
          <w:rFonts w:ascii="Arial" w:hAnsi="Arial" w:cs="Arial"/>
          <w:sz w:val="21"/>
          <w:szCs w:val="21"/>
        </w:rPr>
      </w:pPr>
      <w:r>
        <w:rPr>
          <w:rFonts w:ascii="Arial" w:hAnsi="Arial" w:cs="Arial"/>
          <w:sz w:val="21"/>
          <w:szCs w:val="21"/>
        </w:rPr>
        <w:t>DP.0053.29.2022.GW</w:t>
      </w:r>
    </w:p>
    <w:p w14:paraId="7FF65589" w14:textId="77777777" w:rsidR="005809E9" w:rsidRPr="007A3028" w:rsidRDefault="005F6C18" w:rsidP="005F6C18">
      <w:pPr>
        <w:spacing w:line="360" w:lineRule="auto"/>
        <w:contextualSpacing/>
        <w:outlineLvl w:val="0"/>
        <w:rPr>
          <w:rFonts w:ascii="Arial" w:hAnsi="Arial" w:cs="Arial"/>
          <w:sz w:val="21"/>
          <w:szCs w:val="21"/>
        </w:rPr>
      </w:pPr>
      <w:r>
        <w:rPr>
          <w:rFonts w:ascii="Arial" w:hAnsi="Arial" w:cs="Arial"/>
          <w:sz w:val="21"/>
          <w:szCs w:val="21"/>
        </w:rPr>
        <w:t>KW-4391/22</w:t>
      </w:r>
    </w:p>
    <w:p w14:paraId="283C5AF6" w14:textId="77777777" w:rsidR="006C62F7" w:rsidRPr="007A3028" w:rsidRDefault="006C62F7" w:rsidP="007A3028">
      <w:pPr>
        <w:tabs>
          <w:tab w:val="left" w:pos="4395"/>
        </w:tabs>
        <w:spacing w:line="360" w:lineRule="auto"/>
        <w:ind w:left="4395" w:hanging="426"/>
        <w:rPr>
          <w:rFonts w:ascii="Arial" w:hAnsi="Arial" w:cs="Arial"/>
          <w:sz w:val="23"/>
          <w:szCs w:val="23"/>
        </w:rPr>
      </w:pPr>
      <w:r w:rsidRPr="007A3028">
        <w:rPr>
          <w:rFonts w:ascii="Arial" w:hAnsi="Arial" w:cs="Arial"/>
          <w:sz w:val="23"/>
          <w:szCs w:val="23"/>
        </w:rPr>
        <w:t>Pan</w:t>
      </w:r>
      <w:r w:rsidR="0020161A" w:rsidRPr="007A3028">
        <w:rPr>
          <w:rFonts w:ascii="Arial" w:hAnsi="Arial" w:cs="Arial"/>
          <w:sz w:val="23"/>
          <w:szCs w:val="23"/>
        </w:rPr>
        <w:t>i</w:t>
      </w:r>
    </w:p>
    <w:p w14:paraId="2E7A6250" w14:textId="77777777" w:rsidR="006C62F7" w:rsidRPr="007A3028" w:rsidRDefault="0020161A" w:rsidP="007A3028">
      <w:pPr>
        <w:tabs>
          <w:tab w:val="left" w:pos="4395"/>
        </w:tabs>
        <w:spacing w:line="360" w:lineRule="auto"/>
        <w:ind w:left="4395" w:hanging="426"/>
        <w:rPr>
          <w:rFonts w:ascii="Arial" w:hAnsi="Arial" w:cs="Arial"/>
          <w:b/>
          <w:sz w:val="23"/>
          <w:szCs w:val="23"/>
        </w:rPr>
      </w:pPr>
      <w:r w:rsidRPr="007A3028">
        <w:rPr>
          <w:rFonts w:ascii="Arial" w:hAnsi="Arial" w:cs="Arial"/>
          <w:b/>
          <w:sz w:val="23"/>
          <w:szCs w:val="23"/>
        </w:rPr>
        <w:t>Wioletta Zwara</w:t>
      </w:r>
    </w:p>
    <w:p w14:paraId="281A73D3" w14:textId="77777777" w:rsidR="00A72BBC" w:rsidRPr="007A3028" w:rsidRDefault="0020161A" w:rsidP="007A3028">
      <w:pPr>
        <w:tabs>
          <w:tab w:val="left" w:pos="4395"/>
        </w:tabs>
        <w:spacing w:line="360" w:lineRule="auto"/>
        <w:ind w:left="4395" w:hanging="426"/>
        <w:rPr>
          <w:rFonts w:ascii="Arial" w:hAnsi="Arial" w:cs="Arial"/>
          <w:sz w:val="23"/>
          <w:szCs w:val="23"/>
        </w:rPr>
      </w:pPr>
      <w:r w:rsidRPr="007A3028">
        <w:rPr>
          <w:rFonts w:ascii="Arial" w:hAnsi="Arial" w:cs="Arial"/>
          <w:sz w:val="23"/>
          <w:szCs w:val="23"/>
        </w:rPr>
        <w:t>S</w:t>
      </w:r>
      <w:r w:rsidR="006C62F7" w:rsidRPr="007A3028">
        <w:rPr>
          <w:rFonts w:ascii="Arial" w:hAnsi="Arial" w:cs="Arial"/>
          <w:sz w:val="23"/>
          <w:szCs w:val="23"/>
        </w:rPr>
        <w:t xml:space="preserve">ekretarz </w:t>
      </w:r>
      <w:r w:rsidRPr="007A3028">
        <w:rPr>
          <w:rFonts w:ascii="Arial" w:hAnsi="Arial" w:cs="Arial"/>
          <w:sz w:val="23"/>
          <w:szCs w:val="23"/>
        </w:rPr>
        <w:t xml:space="preserve">Komitetu Rady Ministrów ds. Cyfryzacji </w:t>
      </w:r>
    </w:p>
    <w:p w14:paraId="19DA3A8C" w14:textId="77777777" w:rsidR="005E322A" w:rsidRDefault="005E322A" w:rsidP="005E322A">
      <w:pPr>
        <w:spacing w:after="120" w:line="360" w:lineRule="auto"/>
        <w:ind w:firstLine="709"/>
        <w:jc w:val="both"/>
        <w:rPr>
          <w:rFonts w:ascii="Arial" w:hAnsi="Arial" w:cs="Arial"/>
          <w:sz w:val="21"/>
          <w:szCs w:val="21"/>
        </w:rPr>
      </w:pPr>
    </w:p>
    <w:p w14:paraId="6404DEFB" w14:textId="77777777" w:rsidR="00B01CA8" w:rsidRPr="007A3028" w:rsidRDefault="00DD52BC" w:rsidP="00DD52BC">
      <w:pPr>
        <w:spacing w:after="120" w:line="360" w:lineRule="auto"/>
        <w:jc w:val="both"/>
        <w:rPr>
          <w:rFonts w:ascii="Arial" w:hAnsi="Arial" w:cs="Arial"/>
          <w:i/>
          <w:sz w:val="21"/>
          <w:szCs w:val="21"/>
        </w:rPr>
      </w:pPr>
      <w:r w:rsidRPr="007A3028">
        <w:rPr>
          <w:rFonts w:ascii="Arial" w:hAnsi="Arial" w:cs="Arial"/>
          <w:i/>
          <w:sz w:val="21"/>
          <w:szCs w:val="21"/>
        </w:rPr>
        <w:t>Szanown</w:t>
      </w:r>
      <w:r w:rsidR="0020161A" w:rsidRPr="007A3028">
        <w:rPr>
          <w:rFonts w:ascii="Arial" w:hAnsi="Arial" w:cs="Arial"/>
          <w:i/>
          <w:sz w:val="21"/>
          <w:szCs w:val="21"/>
        </w:rPr>
        <w:t>a</w:t>
      </w:r>
      <w:r w:rsidRPr="007A3028">
        <w:rPr>
          <w:rFonts w:ascii="Arial" w:hAnsi="Arial" w:cs="Arial"/>
          <w:i/>
          <w:sz w:val="21"/>
          <w:szCs w:val="21"/>
        </w:rPr>
        <w:t xml:space="preserve"> Pani </w:t>
      </w:r>
      <w:r w:rsidR="0020161A" w:rsidRPr="007A3028">
        <w:rPr>
          <w:rFonts w:ascii="Arial" w:hAnsi="Arial" w:cs="Arial"/>
          <w:i/>
          <w:sz w:val="21"/>
          <w:szCs w:val="21"/>
        </w:rPr>
        <w:t>Sekretarz</w:t>
      </w:r>
      <w:r w:rsidR="008E0C99" w:rsidRPr="007A3028">
        <w:rPr>
          <w:rFonts w:ascii="Arial" w:hAnsi="Arial" w:cs="Arial"/>
          <w:i/>
          <w:sz w:val="21"/>
          <w:szCs w:val="21"/>
        </w:rPr>
        <w:t>,</w:t>
      </w:r>
    </w:p>
    <w:p w14:paraId="29EB2005" w14:textId="77777777" w:rsidR="006155CC" w:rsidRPr="007A3028" w:rsidRDefault="001B1069" w:rsidP="00927E6C">
      <w:pPr>
        <w:spacing w:line="360" w:lineRule="auto"/>
        <w:ind w:firstLine="567"/>
        <w:contextualSpacing/>
        <w:jc w:val="both"/>
        <w:rPr>
          <w:rFonts w:ascii="Arial" w:hAnsi="Arial" w:cs="Arial"/>
          <w:sz w:val="21"/>
          <w:szCs w:val="21"/>
        </w:rPr>
      </w:pPr>
      <w:r w:rsidRPr="007A3028">
        <w:rPr>
          <w:rFonts w:ascii="Arial" w:hAnsi="Arial" w:cs="Arial"/>
          <w:sz w:val="21"/>
          <w:szCs w:val="21"/>
        </w:rPr>
        <w:t>w</w:t>
      </w:r>
      <w:r w:rsidR="00DD52BC" w:rsidRPr="007A3028">
        <w:rPr>
          <w:rFonts w:ascii="Arial" w:hAnsi="Arial" w:cs="Arial"/>
          <w:sz w:val="21"/>
          <w:szCs w:val="21"/>
        </w:rPr>
        <w:t xml:space="preserve"> </w:t>
      </w:r>
      <w:r w:rsidR="00563332" w:rsidRPr="007A3028">
        <w:rPr>
          <w:rFonts w:ascii="Arial" w:hAnsi="Arial" w:cs="Arial"/>
          <w:sz w:val="21"/>
          <w:szCs w:val="21"/>
        </w:rPr>
        <w:t xml:space="preserve">nawiązaniu do </w:t>
      </w:r>
      <w:r w:rsidR="00DD52BC" w:rsidRPr="007A3028">
        <w:rPr>
          <w:rFonts w:ascii="Arial" w:hAnsi="Arial" w:cs="Arial"/>
          <w:sz w:val="21"/>
          <w:szCs w:val="21"/>
        </w:rPr>
        <w:t>pism</w:t>
      </w:r>
      <w:r w:rsidR="00563332" w:rsidRPr="007A3028">
        <w:rPr>
          <w:rFonts w:ascii="Arial" w:hAnsi="Arial" w:cs="Arial"/>
          <w:sz w:val="21"/>
          <w:szCs w:val="21"/>
        </w:rPr>
        <w:t>a</w:t>
      </w:r>
      <w:r w:rsidR="00DD52BC" w:rsidRPr="007A3028">
        <w:rPr>
          <w:rFonts w:ascii="Arial" w:hAnsi="Arial" w:cs="Arial"/>
          <w:sz w:val="21"/>
          <w:szCs w:val="21"/>
        </w:rPr>
        <w:t xml:space="preserve"> z dnia </w:t>
      </w:r>
      <w:r w:rsidR="005B0CFB" w:rsidRPr="007A3028">
        <w:rPr>
          <w:rFonts w:ascii="Arial" w:hAnsi="Arial" w:cs="Arial"/>
          <w:sz w:val="21"/>
          <w:szCs w:val="21"/>
        </w:rPr>
        <w:t>2</w:t>
      </w:r>
      <w:r w:rsidR="0084089A" w:rsidRPr="007A3028">
        <w:rPr>
          <w:rFonts w:ascii="Arial" w:hAnsi="Arial" w:cs="Arial"/>
          <w:sz w:val="21"/>
          <w:szCs w:val="21"/>
        </w:rPr>
        <w:t>1</w:t>
      </w:r>
      <w:r w:rsidR="00EF163D" w:rsidRPr="007A3028">
        <w:rPr>
          <w:rFonts w:ascii="Arial" w:hAnsi="Arial" w:cs="Arial"/>
          <w:sz w:val="21"/>
          <w:szCs w:val="21"/>
        </w:rPr>
        <w:t xml:space="preserve"> </w:t>
      </w:r>
      <w:r w:rsidR="0084089A" w:rsidRPr="007A3028">
        <w:rPr>
          <w:rFonts w:ascii="Arial" w:hAnsi="Arial" w:cs="Arial"/>
          <w:sz w:val="21"/>
          <w:szCs w:val="21"/>
        </w:rPr>
        <w:t>listopada</w:t>
      </w:r>
      <w:r w:rsidR="00EF163D" w:rsidRPr="007A3028">
        <w:rPr>
          <w:rFonts w:ascii="Arial" w:hAnsi="Arial" w:cs="Arial"/>
          <w:sz w:val="21"/>
          <w:szCs w:val="21"/>
        </w:rPr>
        <w:t xml:space="preserve"> </w:t>
      </w:r>
      <w:r w:rsidR="00A00094" w:rsidRPr="007A3028">
        <w:rPr>
          <w:rFonts w:ascii="Arial" w:hAnsi="Arial" w:cs="Arial"/>
          <w:sz w:val="21"/>
          <w:szCs w:val="21"/>
        </w:rPr>
        <w:t>202</w:t>
      </w:r>
      <w:r w:rsidR="0084089A" w:rsidRPr="007A3028">
        <w:rPr>
          <w:rFonts w:ascii="Arial" w:hAnsi="Arial" w:cs="Arial"/>
          <w:sz w:val="21"/>
          <w:szCs w:val="21"/>
        </w:rPr>
        <w:t>2</w:t>
      </w:r>
      <w:r w:rsidR="00A00094" w:rsidRPr="007A3028">
        <w:rPr>
          <w:rFonts w:ascii="Arial" w:hAnsi="Arial" w:cs="Arial"/>
          <w:sz w:val="21"/>
          <w:szCs w:val="21"/>
        </w:rPr>
        <w:t xml:space="preserve"> r. </w:t>
      </w:r>
      <w:r w:rsidR="0084089A" w:rsidRPr="007A3028">
        <w:rPr>
          <w:rFonts w:ascii="Arial" w:hAnsi="Arial" w:cs="Arial"/>
          <w:sz w:val="21"/>
          <w:szCs w:val="21"/>
        </w:rPr>
        <w:t>(DAIP.WWC.0102</w:t>
      </w:r>
      <w:r w:rsidR="005B0CFB" w:rsidRPr="007A3028">
        <w:rPr>
          <w:rFonts w:ascii="Arial" w:hAnsi="Arial" w:cs="Arial"/>
          <w:sz w:val="21"/>
          <w:szCs w:val="21"/>
        </w:rPr>
        <w:t>.</w:t>
      </w:r>
      <w:r w:rsidR="0084089A" w:rsidRPr="007A3028">
        <w:rPr>
          <w:rFonts w:ascii="Arial" w:hAnsi="Arial" w:cs="Arial"/>
          <w:sz w:val="21"/>
          <w:szCs w:val="21"/>
        </w:rPr>
        <w:t>175</w:t>
      </w:r>
      <w:r w:rsidR="005B0CFB" w:rsidRPr="007A3028">
        <w:rPr>
          <w:rFonts w:ascii="Arial" w:hAnsi="Arial" w:cs="Arial"/>
          <w:sz w:val="21"/>
          <w:szCs w:val="21"/>
        </w:rPr>
        <w:t>.</w:t>
      </w:r>
      <w:r w:rsidR="0084089A" w:rsidRPr="007A3028">
        <w:rPr>
          <w:rFonts w:ascii="Arial" w:hAnsi="Arial" w:cs="Arial"/>
          <w:sz w:val="21"/>
          <w:szCs w:val="21"/>
        </w:rPr>
        <w:t>1</w:t>
      </w:r>
      <w:r w:rsidR="005B0CFB" w:rsidRPr="007A3028">
        <w:rPr>
          <w:rFonts w:ascii="Arial" w:hAnsi="Arial" w:cs="Arial"/>
          <w:sz w:val="21"/>
          <w:szCs w:val="21"/>
        </w:rPr>
        <w:t>.202</w:t>
      </w:r>
      <w:r w:rsidR="0084089A" w:rsidRPr="007A3028">
        <w:rPr>
          <w:rFonts w:ascii="Arial" w:hAnsi="Arial" w:cs="Arial"/>
          <w:sz w:val="21"/>
          <w:szCs w:val="21"/>
        </w:rPr>
        <w:t>2</w:t>
      </w:r>
      <w:r w:rsidR="00240973" w:rsidRPr="007A3028">
        <w:rPr>
          <w:rFonts w:ascii="Arial" w:hAnsi="Arial" w:cs="Arial"/>
          <w:sz w:val="21"/>
          <w:szCs w:val="21"/>
        </w:rPr>
        <w:t>)</w:t>
      </w:r>
      <w:r w:rsidR="00DD52BC" w:rsidRPr="007A3028">
        <w:rPr>
          <w:rFonts w:ascii="Arial" w:hAnsi="Arial" w:cs="Arial"/>
          <w:sz w:val="21"/>
          <w:szCs w:val="21"/>
        </w:rPr>
        <w:t>, przy którym został prze</w:t>
      </w:r>
      <w:r w:rsidR="00F23715" w:rsidRPr="007A3028">
        <w:rPr>
          <w:rFonts w:ascii="Arial" w:hAnsi="Arial" w:cs="Arial"/>
          <w:sz w:val="21"/>
          <w:szCs w:val="21"/>
        </w:rPr>
        <w:t>słany</w:t>
      </w:r>
      <w:r w:rsidR="00DD52BC" w:rsidRPr="007A3028">
        <w:rPr>
          <w:rFonts w:ascii="Arial" w:hAnsi="Arial" w:cs="Arial"/>
          <w:sz w:val="21"/>
          <w:szCs w:val="21"/>
        </w:rPr>
        <w:t xml:space="preserve"> </w:t>
      </w:r>
      <w:r w:rsidR="00DD52BC" w:rsidRPr="007A3028">
        <w:rPr>
          <w:rFonts w:ascii="Arial" w:hAnsi="Arial" w:cs="Arial"/>
          <w:i/>
          <w:iCs/>
          <w:sz w:val="21"/>
          <w:szCs w:val="21"/>
        </w:rPr>
        <w:t xml:space="preserve">projekt </w:t>
      </w:r>
      <w:r w:rsidR="005B0CFB" w:rsidRPr="007A3028">
        <w:rPr>
          <w:rFonts w:ascii="Arial" w:hAnsi="Arial" w:cs="Arial"/>
          <w:i/>
          <w:iCs/>
          <w:sz w:val="21"/>
          <w:szCs w:val="21"/>
        </w:rPr>
        <w:t xml:space="preserve">ustawy </w:t>
      </w:r>
      <w:r w:rsidR="0084089A" w:rsidRPr="007A3028">
        <w:rPr>
          <w:rFonts w:ascii="Arial" w:hAnsi="Arial" w:cs="Arial"/>
          <w:i/>
          <w:iCs/>
          <w:sz w:val="21"/>
          <w:szCs w:val="21"/>
        </w:rPr>
        <w:t>o zmianie ustawy Prawo budowlane oraz niektórych innych ustaw</w:t>
      </w:r>
      <w:r w:rsidR="0084089A" w:rsidRPr="007A3028">
        <w:rPr>
          <w:rFonts w:ascii="Arial" w:hAnsi="Arial" w:cs="Arial"/>
          <w:sz w:val="21"/>
          <w:szCs w:val="21"/>
        </w:rPr>
        <w:t xml:space="preserve"> (UD427)</w:t>
      </w:r>
      <w:r w:rsidR="002C7EA2" w:rsidRPr="007A3028">
        <w:rPr>
          <w:rFonts w:ascii="Arial" w:hAnsi="Arial" w:cs="Arial"/>
          <w:sz w:val="21"/>
          <w:szCs w:val="21"/>
        </w:rPr>
        <w:t xml:space="preserve">, </w:t>
      </w:r>
      <w:r w:rsidR="00927E6C" w:rsidRPr="007A3028">
        <w:rPr>
          <w:rFonts w:ascii="Arial" w:hAnsi="Arial" w:cs="Arial"/>
          <w:sz w:val="21"/>
          <w:szCs w:val="21"/>
        </w:rPr>
        <w:t xml:space="preserve">uprzejmie informuję, że przychylam się do uwag zgłoszonych do art. 21 projektu tej ustawy (do art. 23 projektu ustawy w wersji przekazanej do uzgodnień międzyresortowych) na wcześniejszym etapie procesu legislacyjnego przez Ministra </w:t>
      </w:r>
      <w:r w:rsidR="007A3028" w:rsidRPr="007A3028">
        <w:rPr>
          <w:rFonts w:ascii="Arial" w:hAnsi="Arial" w:cs="Arial"/>
          <w:sz w:val="21"/>
          <w:szCs w:val="21"/>
        </w:rPr>
        <w:t>d</w:t>
      </w:r>
      <w:r w:rsidR="00927E6C" w:rsidRPr="007A3028">
        <w:rPr>
          <w:rFonts w:ascii="Arial" w:hAnsi="Arial" w:cs="Arial"/>
          <w:sz w:val="21"/>
          <w:szCs w:val="21"/>
        </w:rPr>
        <w:t xml:space="preserve">o </w:t>
      </w:r>
      <w:r w:rsidR="007A3028" w:rsidRPr="007A3028">
        <w:rPr>
          <w:rFonts w:ascii="Arial" w:hAnsi="Arial" w:cs="Arial"/>
          <w:sz w:val="21"/>
          <w:szCs w:val="21"/>
        </w:rPr>
        <w:t>s</w:t>
      </w:r>
      <w:r w:rsidR="00927E6C" w:rsidRPr="007A3028">
        <w:rPr>
          <w:rFonts w:ascii="Arial" w:hAnsi="Arial" w:cs="Arial"/>
          <w:sz w:val="21"/>
          <w:szCs w:val="21"/>
        </w:rPr>
        <w:t xml:space="preserve">praw Unii Europejskiej oraz przez Rządowe Centrum Legislacji. </w:t>
      </w:r>
    </w:p>
    <w:p w14:paraId="3C383BAE" w14:textId="77777777" w:rsidR="00927E6C" w:rsidRPr="007A3028" w:rsidRDefault="00927E6C" w:rsidP="00927E6C">
      <w:pPr>
        <w:spacing w:line="360" w:lineRule="auto"/>
        <w:ind w:firstLine="567"/>
        <w:contextualSpacing/>
        <w:jc w:val="both"/>
        <w:rPr>
          <w:rFonts w:ascii="Arial" w:hAnsi="Arial" w:cs="Arial"/>
          <w:sz w:val="21"/>
          <w:szCs w:val="21"/>
        </w:rPr>
      </w:pPr>
      <w:r w:rsidRPr="007A3028">
        <w:rPr>
          <w:rFonts w:ascii="Arial" w:hAnsi="Arial" w:cs="Arial"/>
          <w:sz w:val="21"/>
          <w:szCs w:val="21"/>
        </w:rPr>
        <w:t>Jednocześnie chciałbym nadmienić, że projektowane w art. 21 wyłączenie przepisów ustawy z dnia 11 września 2019 r. – Prawo zamówień publicznych</w:t>
      </w:r>
      <w:r w:rsidR="005809E9" w:rsidRPr="005809E9">
        <w:rPr>
          <w:rFonts w:ascii="Arial" w:eastAsia="Calibri" w:hAnsi="Arial" w:cs="Arial"/>
          <w:sz w:val="21"/>
          <w:szCs w:val="21"/>
          <w:lang w:eastAsia="en-US"/>
        </w:rPr>
        <w:t xml:space="preserve"> </w:t>
      </w:r>
      <w:r w:rsidR="005809E9">
        <w:rPr>
          <w:rFonts w:ascii="Arial" w:eastAsia="Calibri" w:hAnsi="Arial" w:cs="Arial"/>
          <w:sz w:val="21"/>
          <w:szCs w:val="21"/>
          <w:lang w:eastAsia="en-US"/>
        </w:rPr>
        <w:t>(</w:t>
      </w:r>
      <w:r w:rsidR="005809E9" w:rsidRPr="00E23F07">
        <w:rPr>
          <w:rFonts w:ascii="Arial" w:eastAsia="Calibri" w:hAnsi="Arial" w:cs="Arial"/>
          <w:sz w:val="21"/>
          <w:szCs w:val="21"/>
          <w:lang w:eastAsia="en-US"/>
        </w:rPr>
        <w:t>Dz. U. z 2022 r. poz. 1710, z</w:t>
      </w:r>
      <w:r w:rsidR="005809E9">
        <w:rPr>
          <w:rFonts w:ascii="Arial" w:eastAsia="Calibri" w:hAnsi="Arial" w:cs="Arial"/>
          <w:sz w:val="21"/>
          <w:szCs w:val="21"/>
          <w:lang w:eastAsia="en-US"/>
        </w:rPr>
        <w:t>e zm.</w:t>
      </w:r>
      <w:r w:rsidR="005809E9" w:rsidRPr="00E23F07">
        <w:rPr>
          <w:rFonts w:ascii="Arial" w:eastAsia="Calibri" w:hAnsi="Arial" w:cs="Arial"/>
          <w:sz w:val="21"/>
          <w:szCs w:val="21"/>
          <w:lang w:eastAsia="en-US"/>
        </w:rPr>
        <w:t>)</w:t>
      </w:r>
      <w:r w:rsidR="0005221E">
        <w:rPr>
          <w:rFonts w:ascii="Arial" w:eastAsia="Calibri" w:hAnsi="Arial" w:cs="Arial"/>
          <w:sz w:val="21"/>
          <w:szCs w:val="21"/>
          <w:lang w:eastAsia="en-US"/>
        </w:rPr>
        <w:t xml:space="preserve"> dalej: „ustawy </w:t>
      </w:r>
      <w:proofErr w:type="spellStart"/>
      <w:r w:rsidR="0005221E">
        <w:rPr>
          <w:rFonts w:ascii="Arial" w:eastAsia="Calibri" w:hAnsi="Arial" w:cs="Arial"/>
          <w:sz w:val="21"/>
          <w:szCs w:val="21"/>
          <w:lang w:eastAsia="en-US"/>
        </w:rPr>
        <w:t>Pzp</w:t>
      </w:r>
      <w:proofErr w:type="spellEnd"/>
      <w:r w:rsidR="0005221E">
        <w:rPr>
          <w:rFonts w:ascii="Arial" w:eastAsia="Calibri" w:hAnsi="Arial" w:cs="Arial"/>
          <w:sz w:val="21"/>
          <w:szCs w:val="21"/>
          <w:lang w:eastAsia="en-US"/>
        </w:rPr>
        <w:t>”</w:t>
      </w:r>
      <w:r w:rsidR="005809E9" w:rsidRPr="00E23F07">
        <w:rPr>
          <w:rFonts w:ascii="Arial" w:eastAsia="Calibri" w:hAnsi="Arial" w:cs="Arial"/>
          <w:sz w:val="21"/>
          <w:szCs w:val="21"/>
          <w:lang w:eastAsia="en-US"/>
        </w:rPr>
        <w:t xml:space="preserve">, </w:t>
      </w:r>
      <w:r w:rsidRPr="007A3028">
        <w:rPr>
          <w:rFonts w:ascii="Arial" w:hAnsi="Arial" w:cs="Arial"/>
          <w:sz w:val="21"/>
          <w:szCs w:val="21"/>
        </w:rPr>
        <w:t xml:space="preserve">do zamówień publicznych dotyczących usług projektowania lub robót budowlanych związanych z budową pawilonu Rzeczypospolitej Polskiej na Wystawę Światową Expo 2025 Osaka, Kansai oraz sprawowaniem nadzoru inwestorskiego nad jego budową, a także dotyczących usług lub dostaw związanych z wyposażeniem tego pawilonu może powodować niezgodność z prawem Unii Europejskiej dotyczącym zamówień publicznych. Zgodnie </w:t>
      </w:r>
      <w:r w:rsidR="005F6C18">
        <w:rPr>
          <w:rFonts w:ascii="Arial" w:hAnsi="Arial" w:cs="Arial"/>
          <w:sz w:val="21"/>
          <w:szCs w:val="21"/>
        </w:rPr>
        <w:br/>
      </w:r>
      <w:r w:rsidRPr="007A3028">
        <w:rPr>
          <w:rFonts w:ascii="Arial" w:hAnsi="Arial" w:cs="Arial"/>
          <w:sz w:val="21"/>
          <w:szCs w:val="21"/>
        </w:rPr>
        <w:t xml:space="preserve">z utrwalonym orzecznictwem Trybunału Sprawiedliwości UE wszelkie wyjątki od stosowania przepisów dyrektyw dotyczących zamówień publicznych są nie tylko wyczerpująco określone </w:t>
      </w:r>
      <w:r w:rsidR="005F6C18">
        <w:rPr>
          <w:rFonts w:ascii="Arial" w:hAnsi="Arial" w:cs="Arial"/>
          <w:sz w:val="21"/>
          <w:szCs w:val="21"/>
        </w:rPr>
        <w:br/>
      </w:r>
      <w:r w:rsidRPr="007A3028">
        <w:rPr>
          <w:rFonts w:ascii="Arial" w:hAnsi="Arial" w:cs="Arial"/>
          <w:sz w:val="21"/>
          <w:szCs w:val="21"/>
        </w:rPr>
        <w:t xml:space="preserve">w tych dyrektywach, ale również podlegają wykładni zawężającej (por. wyrok w sprawie C-107/98 </w:t>
      </w:r>
      <w:proofErr w:type="spellStart"/>
      <w:r w:rsidRPr="007A3028">
        <w:rPr>
          <w:rFonts w:ascii="Arial" w:hAnsi="Arial" w:cs="Arial"/>
          <w:sz w:val="21"/>
          <w:szCs w:val="21"/>
        </w:rPr>
        <w:t>Teckal</w:t>
      </w:r>
      <w:proofErr w:type="spellEnd"/>
      <w:r w:rsidRPr="007A3028">
        <w:rPr>
          <w:rFonts w:ascii="Arial" w:hAnsi="Arial" w:cs="Arial"/>
          <w:sz w:val="21"/>
          <w:szCs w:val="21"/>
        </w:rPr>
        <w:t xml:space="preserve">, pkt 43-44; wyrok w sprawie C-385/02 Komisja/Włochy, pkt 19). Uzasadnienie projektu nie wykazuje, by projektowane wyłączenie mieściło się w zakresie </w:t>
      </w:r>
      <w:proofErr w:type="spellStart"/>
      <w:r w:rsidRPr="007A3028">
        <w:rPr>
          <w:rFonts w:ascii="Arial" w:hAnsi="Arial" w:cs="Arial"/>
          <w:sz w:val="21"/>
          <w:szCs w:val="21"/>
        </w:rPr>
        <w:t>wyłączeń</w:t>
      </w:r>
      <w:proofErr w:type="spellEnd"/>
      <w:r w:rsidRPr="007A3028">
        <w:rPr>
          <w:rFonts w:ascii="Arial" w:hAnsi="Arial" w:cs="Arial"/>
          <w:sz w:val="21"/>
          <w:szCs w:val="21"/>
        </w:rPr>
        <w:t xml:space="preserve"> dopuszczalnych na podstawie dyrektywy 2014/24/UE.</w:t>
      </w:r>
    </w:p>
    <w:p w14:paraId="54565036" w14:textId="77777777" w:rsidR="007A3028" w:rsidRPr="007A3028" w:rsidRDefault="00927E6C" w:rsidP="00927E6C">
      <w:pPr>
        <w:spacing w:line="360" w:lineRule="auto"/>
        <w:ind w:firstLine="567"/>
        <w:jc w:val="both"/>
        <w:rPr>
          <w:rFonts w:ascii="Arial" w:hAnsi="Arial" w:cs="Arial"/>
          <w:sz w:val="21"/>
          <w:szCs w:val="21"/>
        </w:rPr>
      </w:pPr>
      <w:r w:rsidRPr="007A3028">
        <w:rPr>
          <w:rFonts w:ascii="Arial" w:hAnsi="Arial" w:cs="Arial"/>
          <w:sz w:val="21"/>
          <w:szCs w:val="21"/>
        </w:rPr>
        <w:t xml:space="preserve">W przeciwieństwie do dyrektywy 2014/25/UE, dyrektywa 2014/24/UE nie zawiera żadnych przepisów regulujących kwestie jej stosowania w zależności od określonych czynników geograficznych takich jak siedziba zamawiającego, czy też miejsce wykonania zamówienia. Definicja zamawiającego na gruncie dyrektywy 2014/24/UE nie jest zależna od lokalizacji podmiotu objętego tą definicją, natomiast definicja zamówienia publicznego nie jest zależna od miejsca jego wykonania. Jak zauważył Trybunał EFTA w wyroku z dnia 16.07.2020 r. w sprawie E-8/19 </w:t>
      </w:r>
      <w:proofErr w:type="spellStart"/>
      <w:r w:rsidRPr="007A3028">
        <w:rPr>
          <w:rFonts w:ascii="Arial" w:hAnsi="Arial" w:cs="Arial"/>
          <w:sz w:val="21"/>
          <w:szCs w:val="21"/>
        </w:rPr>
        <w:lastRenderedPageBreak/>
        <w:t>Scanteam</w:t>
      </w:r>
      <w:proofErr w:type="spellEnd"/>
      <w:r w:rsidRPr="007A3028">
        <w:rPr>
          <w:rFonts w:ascii="Arial" w:hAnsi="Arial" w:cs="Arial"/>
          <w:sz w:val="21"/>
          <w:szCs w:val="21"/>
        </w:rPr>
        <w:t xml:space="preserve"> AS, gdyby wskazane wyżej kwestie przesądzały o możliwości zastosowania dyrektywy, to wówczas zobowiązania wynikające z jej regulacji byłyby łatwe do obejścia. </w:t>
      </w:r>
    </w:p>
    <w:p w14:paraId="0E5004D5" w14:textId="77777777" w:rsidR="00927E6C" w:rsidRPr="007A3028" w:rsidRDefault="00927E6C" w:rsidP="00927E6C">
      <w:pPr>
        <w:spacing w:line="360" w:lineRule="auto"/>
        <w:ind w:firstLine="567"/>
        <w:jc w:val="both"/>
        <w:rPr>
          <w:rFonts w:ascii="Arial" w:hAnsi="Arial" w:cs="Arial"/>
          <w:sz w:val="21"/>
          <w:szCs w:val="21"/>
        </w:rPr>
      </w:pPr>
      <w:r w:rsidRPr="007A3028">
        <w:rPr>
          <w:rFonts w:ascii="Arial" w:hAnsi="Arial" w:cs="Arial"/>
          <w:sz w:val="21"/>
          <w:szCs w:val="21"/>
        </w:rPr>
        <w:t xml:space="preserve">Należy podkreślić, że głównym celem dyrektywy 2014/24/UE jest zapewnienie zgodności </w:t>
      </w:r>
      <w:r w:rsidR="005F6C18">
        <w:rPr>
          <w:rFonts w:ascii="Arial" w:hAnsi="Arial" w:cs="Arial"/>
          <w:sz w:val="21"/>
          <w:szCs w:val="21"/>
        </w:rPr>
        <w:br/>
      </w:r>
      <w:r w:rsidRPr="007A3028">
        <w:rPr>
          <w:rFonts w:ascii="Arial" w:hAnsi="Arial" w:cs="Arial"/>
          <w:sz w:val="21"/>
          <w:szCs w:val="21"/>
        </w:rPr>
        <w:t xml:space="preserve">z zasadą swobodnego przepływu towarów, swobody przedsiębiorczości oraz swobody świadczenia usług, a także z zasadami, które się z nich wywodzą, takimi jak: zasada równego traktowania, zasada niedyskryminacji, zasada wzajemnego uznawania, zasada proporcjonalności oraz zasada przejrzystości. Dyrektywa gwarantuje, że zasady te mają praktyczne zastosowanie, zamówienia publiczne są otwarte na konkurencję, a środki publiczne wydawane w sposób racjonalny. Powyższy cel ma zawsze charakter nadrzędny i musi zostać osiągnięty również w sytuacji, kiedy zamawiający lub miejsce realizacji określonego zamówienia publicznego znajduje się w państwie trzecim. </w:t>
      </w:r>
    </w:p>
    <w:p w14:paraId="2ED6115C" w14:textId="77777777" w:rsidR="00927E6C" w:rsidRPr="007A3028" w:rsidRDefault="00927E6C" w:rsidP="007A3028">
      <w:pPr>
        <w:spacing w:line="360" w:lineRule="auto"/>
        <w:ind w:firstLine="567"/>
        <w:jc w:val="both"/>
        <w:rPr>
          <w:rFonts w:ascii="Arial" w:hAnsi="Arial" w:cs="Arial"/>
          <w:sz w:val="21"/>
          <w:szCs w:val="21"/>
        </w:rPr>
      </w:pPr>
      <w:r w:rsidRPr="007A3028">
        <w:rPr>
          <w:rFonts w:ascii="Arial" w:hAnsi="Arial" w:cs="Arial"/>
          <w:sz w:val="21"/>
          <w:szCs w:val="21"/>
        </w:rPr>
        <w:t>Ponadto z ugruntowanego orzecznictwa Trybunału Sprawiedliwości UE, zwłaszcza z tez zawartych w wyroku z dnia 28.02.2013 r. w sprawie C-544/11 Petersen, wynikają dwie ważne zasady. Po pierwsze, prawo unijne znajduje zastosowanie do oceny wszystkich stosunków prawnych w takim zakresie, w jakim stosunki te ze względu na miejsce ich zawarcia albo miejsce, w którym odnoszą swoje skutki może znajdować się na terytorium Unii. Po drugie natomiast, prawo unijne znajduje zastosowanie do działalności zawodowej wykonywanej poza terytorium Unii pod warunkiem, że stosunek pracy zachowuje wystarczająco ścisły związek z Unią Europejską. W związku z powyższym zamówienia w rozumieniu dyrektywy 2014/24/UE będą obowiązkowo wchodzić w jej zakres w sytuacji, gdy będą ściśle związane z Unią</w:t>
      </w:r>
      <w:r w:rsidR="007A3028" w:rsidRPr="007A3028">
        <w:rPr>
          <w:rFonts w:ascii="Arial" w:hAnsi="Arial" w:cs="Arial"/>
          <w:sz w:val="21"/>
          <w:szCs w:val="21"/>
        </w:rPr>
        <w:t xml:space="preserve"> Europejską</w:t>
      </w:r>
      <w:r w:rsidRPr="007A3028">
        <w:rPr>
          <w:rFonts w:ascii="Arial" w:hAnsi="Arial" w:cs="Arial"/>
          <w:sz w:val="21"/>
          <w:szCs w:val="21"/>
        </w:rPr>
        <w:t xml:space="preserve"> i gdy mogą mieć bezpośredni wpływ na funkcjonowanie rynku unijnego. Projektowany przepis art. 21, ani uzasadnienie projektu ustawy nie przesądzają, czy przedmiotowe zamówienie będzie realizowane w całości w Japonii, jednakże fakt wyłącz</w:t>
      </w:r>
      <w:r w:rsidR="007A3028" w:rsidRPr="007A3028">
        <w:rPr>
          <w:rFonts w:ascii="Arial" w:hAnsi="Arial" w:cs="Arial"/>
          <w:sz w:val="21"/>
          <w:szCs w:val="21"/>
        </w:rPr>
        <w:t>a</w:t>
      </w:r>
      <w:r w:rsidRPr="007A3028">
        <w:rPr>
          <w:rFonts w:ascii="Arial" w:hAnsi="Arial" w:cs="Arial"/>
          <w:sz w:val="21"/>
          <w:szCs w:val="21"/>
        </w:rPr>
        <w:t xml:space="preserve">nia przez projektodawcę stosowania ustawy Pzp sugeruje, że do realizacji mogłoby częściowo dojść w Polsce lub w innym państwie członkowskim Unii Europejskiej. Trybunał EFTA w treści w wyroku z dnia 16.07.2020 r. w sprawie E-8/19 </w:t>
      </w:r>
      <w:proofErr w:type="spellStart"/>
      <w:r w:rsidRPr="007A3028">
        <w:rPr>
          <w:rFonts w:ascii="Arial" w:hAnsi="Arial" w:cs="Arial"/>
          <w:sz w:val="21"/>
          <w:szCs w:val="21"/>
        </w:rPr>
        <w:t>Scanteam</w:t>
      </w:r>
      <w:proofErr w:type="spellEnd"/>
      <w:r w:rsidRPr="007A3028">
        <w:rPr>
          <w:rFonts w:ascii="Arial" w:hAnsi="Arial" w:cs="Arial"/>
          <w:sz w:val="21"/>
          <w:szCs w:val="21"/>
        </w:rPr>
        <w:t xml:space="preserve"> AS wskazuje na potencjalne czynniki mogące przesądzać o ścisłym związku z Unią Europejską wśród których wymienić trzeba przede wszystkim język procedury, prawo krajowe mające zastosowanie do procedury, krajowe wymogi rejestracyjne, czy też fakt, że ogłoszenie procedury ma na celu zaangażowanie wykonawców z terytorium Unii. Powyższa zasada obowiązuje niezależnie od okoliczności, że rezultaty wykonania umowy o realizację zamówienia publicznego wystąpią w państwie trzecim. </w:t>
      </w:r>
    </w:p>
    <w:p w14:paraId="6564AFD1" w14:textId="77777777" w:rsidR="00927E6C" w:rsidRPr="007A3028" w:rsidRDefault="00927E6C" w:rsidP="007A3028">
      <w:pPr>
        <w:spacing w:line="360" w:lineRule="auto"/>
        <w:ind w:firstLine="567"/>
        <w:jc w:val="both"/>
        <w:rPr>
          <w:rStyle w:val="markedcontent"/>
          <w:rFonts w:ascii="Arial" w:hAnsi="Arial" w:cs="Arial"/>
          <w:sz w:val="21"/>
          <w:szCs w:val="21"/>
        </w:rPr>
      </w:pPr>
      <w:r w:rsidRPr="007A3028">
        <w:rPr>
          <w:rStyle w:val="markedcontent"/>
          <w:rFonts w:ascii="Arial" w:hAnsi="Arial" w:cs="Arial"/>
          <w:sz w:val="21"/>
          <w:szCs w:val="21"/>
        </w:rPr>
        <w:t>W związku z powyższym brak jest podstaw dla wyłączenia w projektowanej ustawie stosowania</w:t>
      </w:r>
      <w:r w:rsidR="0005221E">
        <w:rPr>
          <w:rStyle w:val="markedcontent"/>
          <w:rFonts w:ascii="Arial" w:hAnsi="Arial" w:cs="Arial"/>
          <w:sz w:val="21"/>
          <w:szCs w:val="21"/>
        </w:rPr>
        <w:t xml:space="preserve"> ustawy Pzp </w:t>
      </w:r>
      <w:r w:rsidRPr="007A3028">
        <w:rPr>
          <w:rStyle w:val="markedcontent"/>
          <w:rFonts w:ascii="Arial" w:hAnsi="Arial" w:cs="Arial"/>
          <w:sz w:val="21"/>
          <w:szCs w:val="21"/>
        </w:rPr>
        <w:t xml:space="preserve">transponującej przepisy dyrektywy </w:t>
      </w:r>
      <w:r w:rsidR="0005221E" w:rsidRPr="007A3028">
        <w:rPr>
          <w:rFonts w:ascii="Arial" w:hAnsi="Arial" w:cs="Arial"/>
          <w:sz w:val="21"/>
          <w:szCs w:val="21"/>
        </w:rPr>
        <w:t>2014/24/UE</w:t>
      </w:r>
      <w:r w:rsidRPr="007A3028">
        <w:rPr>
          <w:rStyle w:val="markedcontent"/>
          <w:rFonts w:ascii="Arial" w:hAnsi="Arial" w:cs="Arial"/>
          <w:sz w:val="21"/>
          <w:szCs w:val="21"/>
        </w:rPr>
        <w:t xml:space="preserve">. </w:t>
      </w:r>
    </w:p>
    <w:p w14:paraId="62B9C402" w14:textId="77777777" w:rsidR="00612CFF" w:rsidRPr="007A3028" w:rsidRDefault="00612CFF" w:rsidP="001F292B">
      <w:pPr>
        <w:spacing w:line="360" w:lineRule="auto"/>
        <w:jc w:val="both"/>
        <w:rPr>
          <w:rFonts w:ascii="Arial" w:hAnsi="Arial" w:cs="Arial"/>
          <w:sz w:val="21"/>
          <w:szCs w:val="21"/>
        </w:rPr>
      </w:pPr>
    </w:p>
    <w:p w14:paraId="0BA16DD3" w14:textId="77777777" w:rsidR="00563332" w:rsidRPr="007A3028" w:rsidRDefault="00563332" w:rsidP="00563332">
      <w:pPr>
        <w:autoSpaceDE w:val="0"/>
        <w:autoSpaceDN w:val="0"/>
        <w:adjustRightInd w:val="0"/>
        <w:spacing w:after="240" w:line="360" w:lineRule="auto"/>
        <w:ind w:left="4820"/>
        <w:rPr>
          <w:rFonts w:ascii="Arial" w:hAnsi="Arial" w:cs="Arial"/>
          <w:sz w:val="21"/>
          <w:szCs w:val="21"/>
        </w:rPr>
      </w:pPr>
      <w:r w:rsidRPr="007A3028">
        <w:rPr>
          <w:rFonts w:ascii="Arial" w:hAnsi="Arial" w:cs="Arial"/>
          <w:i/>
          <w:iCs/>
          <w:sz w:val="21"/>
          <w:szCs w:val="21"/>
        </w:rPr>
        <w:t>Łączę wyrazy szacunku</w:t>
      </w:r>
      <w:r w:rsidRPr="007A3028">
        <w:rPr>
          <w:rFonts w:ascii="Arial" w:hAnsi="Arial" w:cs="Arial"/>
          <w:sz w:val="21"/>
          <w:szCs w:val="21"/>
        </w:rPr>
        <w:t>,</w:t>
      </w:r>
    </w:p>
    <w:p w14:paraId="4AFEFD1C" w14:textId="77777777" w:rsidR="00563332" w:rsidRPr="007A3028" w:rsidRDefault="00563332" w:rsidP="00563332">
      <w:pPr>
        <w:autoSpaceDE w:val="0"/>
        <w:autoSpaceDN w:val="0"/>
        <w:adjustRightInd w:val="0"/>
        <w:spacing w:line="360" w:lineRule="auto"/>
        <w:ind w:left="4820"/>
        <w:rPr>
          <w:rFonts w:ascii="Arial" w:hAnsi="Arial" w:cs="Arial"/>
          <w:sz w:val="21"/>
          <w:szCs w:val="21"/>
        </w:rPr>
      </w:pPr>
      <w:r w:rsidRPr="007A3028">
        <w:rPr>
          <w:rFonts w:ascii="Arial" w:hAnsi="Arial" w:cs="Arial"/>
          <w:sz w:val="21"/>
          <w:szCs w:val="21"/>
        </w:rPr>
        <w:t>Hubert Nowak</w:t>
      </w:r>
    </w:p>
    <w:p w14:paraId="3341039F" w14:textId="77777777" w:rsidR="00563332" w:rsidRPr="007A3028" w:rsidRDefault="00563332" w:rsidP="00563332">
      <w:pPr>
        <w:spacing w:after="120" w:line="360" w:lineRule="auto"/>
        <w:ind w:left="4820"/>
        <w:rPr>
          <w:rFonts w:ascii="Arial" w:hAnsi="Arial" w:cs="Arial"/>
          <w:sz w:val="21"/>
          <w:szCs w:val="21"/>
        </w:rPr>
      </w:pPr>
      <w:r w:rsidRPr="007A3028">
        <w:rPr>
          <w:rFonts w:ascii="Arial" w:hAnsi="Arial" w:cs="Arial"/>
          <w:sz w:val="21"/>
          <w:szCs w:val="21"/>
        </w:rPr>
        <w:t>Prezes Urzędu Zamówień Publicznych</w:t>
      </w:r>
    </w:p>
    <w:p w14:paraId="6034CC8B" w14:textId="77777777" w:rsidR="005B2B85" w:rsidRPr="00557C24" w:rsidRDefault="00563332" w:rsidP="007A3028">
      <w:pPr>
        <w:spacing w:after="120" w:line="360" w:lineRule="auto"/>
        <w:ind w:left="4820"/>
        <w:rPr>
          <w:rFonts w:ascii="Arial" w:hAnsi="Arial" w:cs="Arial"/>
          <w:sz w:val="16"/>
          <w:szCs w:val="16"/>
        </w:rPr>
      </w:pPr>
      <w:r w:rsidRPr="007A3028">
        <w:rPr>
          <w:rFonts w:ascii="Arial" w:hAnsi="Arial" w:cs="Arial"/>
          <w:sz w:val="21"/>
          <w:szCs w:val="21"/>
        </w:rPr>
        <w:t>/podpisano elektronicznie/</w:t>
      </w:r>
    </w:p>
    <w:sectPr w:rsidR="005B2B85" w:rsidRPr="00557C24" w:rsidSect="00927E6C">
      <w:footerReference w:type="even" r:id="rId8"/>
      <w:footerReference w:type="default" r:id="rId9"/>
      <w:headerReference w:type="first" r:id="rId10"/>
      <w:footerReference w:type="first" r:id="rId11"/>
      <w:type w:val="continuous"/>
      <w:pgSz w:w="11906" w:h="16838" w:code="9"/>
      <w:pgMar w:top="1417" w:right="1417" w:bottom="1417" w:left="1417" w:header="0" w:footer="63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8F50CE" w14:textId="77777777" w:rsidR="006F36E8" w:rsidRDefault="006F36E8">
      <w:r>
        <w:separator/>
      </w:r>
    </w:p>
  </w:endnote>
  <w:endnote w:type="continuationSeparator" w:id="0">
    <w:p w14:paraId="6FE3EC18" w14:textId="77777777" w:rsidR="006F36E8" w:rsidRDefault="006F3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E6E45" w14:textId="77777777" w:rsidR="00A36BBB" w:rsidRDefault="002E2B2A" w:rsidP="000E3AD0">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7598F6A6" w14:textId="77777777" w:rsidR="00A36BBB" w:rsidRDefault="006E7B8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C2FF97" w14:textId="77777777" w:rsidR="00A36BBB" w:rsidRPr="00CB0F0D" w:rsidRDefault="006E7B8E" w:rsidP="00630A85">
    <w:pPr>
      <w:pStyle w:val="Stopka"/>
      <w:framePr w:wrap="around" w:vAnchor="text" w:hAnchor="page" w:x="5994" w:y="426"/>
      <w:rPr>
        <w:rStyle w:val="Numerstrony"/>
        <w:rFonts w:ascii="Arial" w:hAnsi="Arial" w:cs="Arial"/>
        <w:sz w:val="16"/>
        <w:szCs w:val="16"/>
      </w:rPr>
    </w:pPr>
  </w:p>
  <w:p w14:paraId="6DD43B4A" w14:textId="77777777" w:rsidR="00A36BBB" w:rsidRPr="005B2B85" w:rsidRDefault="00D67847" w:rsidP="005B2B85">
    <w:pPr>
      <w:pStyle w:val="Stopka"/>
      <w:ind w:left="-346"/>
      <w:rPr>
        <w:rFonts w:ascii="Calibri" w:hAnsi="Calibri"/>
        <w:sz w:val="15"/>
        <w:szCs w:val="15"/>
      </w:rPr>
    </w:pPr>
    <w:r>
      <w:rPr>
        <w:rFonts w:ascii="Calibri" w:hAnsi="Calibri"/>
        <w:sz w:val="15"/>
        <w:szCs w:val="15"/>
      </w:rPr>
      <w:t>Urząd Zamówień Publicznych</w:t>
    </w:r>
    <w:r w:rsidRPr="00407F91">
      <w:rPr>
        <w:rFonts w:ascii="Calibri" w:hAnsi="Calibri"/>
        <w:sz w:val="15"/>
        <w:szCs w:val="15"/>
      </w:rPr>
      <w:t xml:space="preserve">, </w:t>
    </w:r>
    <w:r>
      <w:rPr>
        <w:rFonts w:ascii="Calibri" w:hAnsi="Calibri"/>
        <w:sz w:val="15"/>
        <w:szCs w:val="15"/>
      </w:rPr>
      <w:t>ul. Postępu 17A</w:t>
    </w:r>
    <w:r w:rsidRPr="00407F91">
      <w:rPr>
        <w:rFonts w:ascii="Calibri" w:hAnsi="Calibri"/>
        <w:sz w:val="15"/>
        <w:szCs w:val="15"/>
      </w:rPr>
      <w:t xml:space="preserve">, </w:t>
    </w:r>
    <w:r>
      <w:rPr>
        <w:rFonts w:ascii="Calibri" w:hAnsi="Calibri"/>
        <w:sz w:val="15"/>
        <w:szCs w:val="15"/>
      </w:rPr>
      <w:t>02-626 Warszawa</w:t>
    </w:r>
    <w:r w:rsidRPr="00407F91">
      <w:rPr>
        <w:rFonts w:ascii="Calibri" w:hAnsi="Calibri"/>
        <w:sz w:val="15"/>
        <w:szCs w:val="15"/>
      </w:rPr>
      <w:t xml:space="preserve">;  tel. </w:t>
    </w:r>
    <w:r w:rsidRPr="00203897">
      <w:rPr>
        <w:rFonts w:ascii="Calibri" w:hAnsi="Calibri"/>
        <w:sz w:val="15"/>
        <w:szCs w:val="15"/>
      </w:rPr>
      <w:t>22</w:t>
    </w:r>
    <w:r>
      <w:rPr>
        <w:rFonts w:ascii="Calibri" w:hAnsi="Calibri"/>
        <w:sz w:val="15"/>
        <w:szCs w:val="15"/>
      </w:rPr>
      <w:t xml:space="preserve"> 458</w:t>
    </w:r>
    <w:r w:rsidRPr="00203897">
      <w:rPr>
        <w:rFonts w:ascii="Calibri" w:hAnsi="Calibri"/>
        <w:sz w:val="15"/>
        <w:szCs w:val="15"/>
      </w:rPr>
      <w:t xml:space="preserve"> </w:t>
    </w:r>
    <w:r>
      <w:rPr>
        <w:rFonts w:ascii="Calibri" w:hAnsi="Calibri"/>
        <w:sz w:val="15"/>
        <w:szCs w:val="15"/>
      </w:rPr>
      <w:t>77 02</w:t>
    </w:r>
    <w:r w:rsidRPr="00407F91">
      <w:rPr>
        <w:rFonts w:ascii="Calibri" w:hAnsi="Calibri"/>
        <w:sz w:val="15"/>
        <w:szCs w:val="15"/>
      </w:rPr>
      <w:t>, fax 22</w:t>
    </w:r>
    <w:r>
      <w:rPr>
        <w:rFonts w:ascii="Calibri" w:hAnsi="Calibri"/>
        <w:sz w:val="15"/>
        <w:szCs w:val="15"/>
      </w:rPr>
      <w:t> 458 77 90</w:t>
    </w:r>
    <w:r w:rsidRPr="00407F91">
      <w:rPr>
        <w:rFonts w:ascii="Calibri" w:hAnsi="Calibri"/>
        <w:sz w:val="15"/>
        <w:szCs w:val="15"/>
      </w:rPr>
      <w:t xml:space="preserve">, </w:t>
    </w:r>
    <w:r>
      <w:rPr>
        <w:rFonts w:ascii="Calibri" w:hAnsi="Calibri"/>
        <w:sz w:val="15"/>
        <w:szCs w:val="15"/>
      </w:rPr>
      <w:t xml:space="preserve">e-mail: </w:t>
    </w:r>
    <w:hyperlink r:id="rId1" w:history="1">
      <w:r w:rsidRPr="00461599">
        <w:rPr>
          <w:rStyle w:val="Hipercze"/>
          <w:rFonts w:ascii="Calibri" w:hAnsi="Calibri"/>
          <w:sz w:val="15"/>
          <w:szCs w:val="15"/>
        </w:rPr>
        <w:t>sekretariat@uzp.gov.pl</w:t>
      </w:r>
    </w:hyperlink>
    <w:r>
      <w:rPr>
        <w:rFonts w:ascii="Calibri" w:hAnsi="Calibri"/>
        <w:sz w:val="15"/>
        <w:szCs w:val="15"/>
      </w:rPr>
      <w:t xml:space="preserve">; </w:t>
    </w:r>
    <w:r w:rsidRPr="00407F91">
      <w:rPr>
        <w:rFonts w:ascii="Calibri" w:hAnsi="Calibri"/>
        <w:sz w:val="15"/>
        <w:szCs w:val="15"/>
      </w:rPr>
      <w:t>www.</w:t>
    </w:r>
    <w:r>
      <w:rPr>
        <w:rFonts w:ascii="Calibri" w:hAnsi="Calibri"/>
        <w:sz w:val="15"/>
        <w:szCs w:val="15"/>
      </w:rPr>
      <w:t>uzp</w:t>
    </w:r>
    <w:r w:rsidRPr="00407F91">
      <w:rPr>
        <w:rFonts w:ascii="Calibri" w:hAnsi="Calibri"/>
        <w:sz w:val="15"/>
        <w:szCs w:val="15"/>
      </w:rPr>
      <w:t>.gov.pl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25FABE" w14:textId="77777777" w:rsidR="001B1AA6" w:rsidRPr="001613B4" w:rsidRDefault="001B1AA6" w:rsidP="001B1AA6">
    <w:pPr>
      <w:tabs>
        <w:tab w:val="center" w:pos="4536"/>
        <w:tab w:val="right" w:pos="9072"/>
      </w:tabs>
      <w:ind w:left="-346"/>
      <w:jc w:val="center"/>
      <w:rPr>
        <w:rFonts w:ascii="Calibri" w:hAnsi="Calibri"/>
        <w:sz w:val="15"/>
        <w:szCs w:val="15"/>
      </w:rPr>
    </w:pPr>
    <w:r w:rsidRPr="001613B4">
      <w:rPr>
        <w:rFonts w:ascii="Calibri" w:hAnsi="Calibri"/>
        <w:sz w:val="15"/>
        <w:szCs w:val="15"/>
      </w:rPr>
      <w:t xml:space="preserve">Urząd Zamówień Publicznych, ul. Postępu 17A, 02-626 Warszawa;  tel. 22 458 77 02, fax 22 458 77 90, e-mail: </w:t>
    </w:r>
    <w:hyperlink r:id="rId1" w:history="1">
      <w:r w:rsidRPr="001613B4">
        <w:rPr>
          <w:rFonts w:ascii="Calibri" w:hAnsi="Calibri"/>
          <w:color w:val="0000FF" w:themeColor="hyperlink"/>
          <w:sz w:val="15"/>
          <w:szCs w:val="15"/>
          <w:u w:val="single"/>
        </w:rPr>
        <w:t>sekretariat@uzp.gov.pl</w:t>
      </w:r>
    </w:hyperlink>
    <w:r w:rsidRPr="001613B4">
      <w:rPr>
        <w:rFonts w:ascii="Calibri" w:hAnsi="Calibri"/>
        <w:sz w:val="15"/>
        <w:szCs w:val="15"/>
      </w:rPr>
      <w:t xml:space="preserve">; ww.gov.pl/web/uzp </w:t>
    </w:r>
  </w:p>
  <w:p w14:paraId="6E110F35" w14:textId="77777777" w:rsidR="001B1AA6" w:rsidRDefault="001B1AA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1428B1" w14:textId="77777777" w:rsidR="006F36E8" w:rsidRDefault="006F36E8">
      <w:r>
        <w:separator/>
      </w:r>
    </w:p>
  </w:footnote>
  <w:footnote w:type="continuationSeparator" w:id="0">
    <w:p w14:paraId="5A215F99" w14:textId="77777777" w:rsidR="006F36E8" w:rsidRDefault="006F36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FAA84" w14:textId="77777777" w:rsidR="00A36BBB" w:rsidRDefault="008C5AC9" w:rsidP="00BF55D1">
    <w:pPr>
      <w:pStyle w:val="Nagwek"/>
      <w:tabs>
        <w:tab w:val="left" w:pos="3686"/>
      </w:tabs>
    </w:pPr>
    <w:r>
      <w:rPr>
        <w:noProof/>
      </w:rPr>
      <mc:AlternateContent>
        <mc:Choice Requires="wps">
          <w:drawing>
            <wp:anchor distT="0" distB="0" distL="114300" distR="114300" simplePos="0" relativeHeight="251658240" behindDoc="0" locked="0" layoutInCell="1" allowOverlap="1" wp14:anchorId="6652F130" wp14:editId="16FB9A61">
              <wp:simplePos x="0" y="0"/>
              <wp:positionH relativeFrom="column">
                <wp:posOffset>-452119</wp:posOffset>
              </wp:positionH>
              <wp:positionV relativeFrom="paragraph">
                <wp:posOffset>411480</wp:posOffset>
              </wp:positionV>
              <wp:extent cx="3028950" cy="1151255"/>
              <wp:effectExtent l="0" t="0" r="0" b="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0" cy="1151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5E29D8" w14:textId="77777777" w:rsidR="00A36BBB" w:rsidRDefault="0043483E" w:rsidP="00B666D4">
                          <w:pPr>
                            <w:jc w:val="center"/>
                            <w:rPr>
                              <w:color w:val="000000"/>
                            </w:rPr>
                          </w:pPr>
                          <w:r>
                            <w:rPr>
                              <w:noProof/>
                              <w:color w:val="000000"/>
                            </w:rPr>
                            <w:drawing>
                              <wp:inline distT="0" distB="0" distL="0" distR="0" wp14:anchorId="44B934A8" wp14:editId="1025E122">
                                <wp:extent cx="794097" cy="785651"/>
                                <wp:effectExtent l="0" t="0" r="6350"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992" cy="795441"/>
                                        </a:xfrm>
                                        <a:prstGeom prst="rect">
                                          <a:avLst/>
                                        </a:prstGeom>
                                        <a:noFill/>
                                        <a:ln>
                                          <a:noFill/>
                                        </a:ln>
                                      </pic:spPr>
                                    </pic:pic>
                                  </a:graphicData>
                                </a:graphic>
                              </wp:inline>
                            </w:drawing>
                          </w:r>
                        </w:p>
                        <w:p w14:paraId="30781C8F" w14:textId="77777777" w:rsidR="00A36BBB" w:rsidRPr="0074461A" w:rsidRDefault="0074461A" w:rsidP="00630A85">
                          <w:pPr>
                            <w:jc w:val="center"/>
                            <w:rPr>
                              <w:rFonts w:ascii="Book Antiqua" w:hAnsi="Book Antiqua"/>
                              <w:color w:val="000000"/>
                            </w:rPr>
                          </w:pPr>
                          <w:r w:rsidRPr="0074461A">
                            <w:rPr>
                              <w:rFonts w:ascii="Book Antiqua" w:hAnsi="Book Antiqua"/>
                              <w:color w:val="000000"/>
                            </w:rPr>
                            <w:t>PREZES</w:t>
                          </w:r>
                        </w:p>
                        <w:p w14:paraId="0AEC72AB" w14:textId="77777777" w:rsidR="00630A85" w:rsidRDefault="0074461A" w:rsidP="00630A85">
                          <w:pPr>
                            <w:jc w:val="center"/>
                            <w:rPr>
                              <w:rFonts w:ascii="Book Antiqua" w:hAnsi="Book Antiqua"/>
                              <w:color w:val="000000"/>
                            </w:rPr>
                          </w:pPr>
                          <w:r w:rsidRPr="0074461A">
                            <w:rPr>
                              <w:rFonts w:ascii="Book Antiqua" w:hAnsi="Book Antiqua"/>
                              <w:color w:val="000000"/>
                            </w:rPr>
                            <w:t>URZ</w:t>
                          </w:r>
                          <w:r w:rsidRPr="0074461A">
                            <w:rPr>
                              <w:rFonts w:ascii="Book Antiqua" w:hAnsi="Book Antiqua" w:cs="Calibri"/>
                              <w:color w:val="000000"/>
                            </w:rPr>
                            <w:t>Ę</w:t>
                          </w:r>
                          <w:r w:rsidRPr="0074461A">
                            <w:rPr>
                              <w:rFonts w:ascii="Book Antiqua" w:hAnsi="Book Antiqua"/>
                              <w:color w:val="000000"/>
                            </w:rPr>
                            <w:t>DU ZAM</w:t>
                          </w:r>
                          <w:r w:rsidRPr="0074461A">
                            <w:rPr>
                              <w:rFonts w:ascii="Book Antiqua" w:hAnsi="Book Antiqua" w:cs="Agency FB"/>
                              <w:color w:val="000000"/>
                            </w:rPr>
                            <w:t>Ó</w:t>
                          </w:r>
                          <w:r w:rsidRPr="0074461A">
                            <w:rPr>
                              <w:rFonts w:ascii="Book Antiqua" w:hAnsi="Book Antiqua"/>
                              <w:color w:val="000000"/>
                            </w:rPr>
                            <w:t>WIE</w:t>
                          </w:r>
                          <w:r w:rsidRPr="0074461A">
                            <w:rPr>
                              <w:rFonts w:ascii="Book Antiqua" w:hAnsi="Book Antiqua" w:cs="Calibri"/>
                              <w:color w:val="000000"/>
                            </w:rPr>
                            <w:t>Ń</w:t>
                          </w:r>
                          <w:r w:rsidRPr="0074461A">
                            <w:rPr>
                              <w:rFonts w:ascii="Book Antiqua" w:hAnsi="Book Antiqua"/>
                              <w:color w:val="000000"/>
                            </w:rPr>
                            <w:t xml:space="preserve"> PUBLICZNYCH</w:t>
                          </w:r>
                        </w:p>
                        <w:p w14:paraId="2BF7BFFF" w14:textId="77777777" w:rsidR="00630A85" w:rsidRPr="00630A85" w:rsidRDefault="00630A85" w:rsidP="00630A85">
                          <w:pPr>
                            <w:jc w:val="center"/>
                            <w:rPr>
                              <w:rFonts w:ascii="Book Antiqua" w:hAnsi="Book Antiqua"/>
                              <w:i/>
                              <w:color w:val="000000"/>
                              <w:spacing w:val="20"/>
                              <w:sz w:val="6"/>
                            </w:rPr>
                          </w:pPr>
                        </w:p>
                        <w:p w14:paraId="5A8D641D" w14:textId="77777777" w:rsidR="00A36BBB" w:rsidRPr="0074461A" w:rsidRDefault="00D67847" w:rsidP="00630A85">
                          <w:pPr>
                            <w:jc w:val="center"/>
                            <w:rPr>
                              <w:rFonts w:ascii="Book Antiqua" w:hAnsi="Book Antiqua"/>
                              <w:i/>
                              <w:color w:val="000000"/>
                              <w:spacing w:val="20"/>
                              <w:sz w:val="28"/>
                            </w:rPr>
                          </w:pPr>
                          <w:r>
                            <w:rPr>
                              <w:rFonts w:ascii="Book Antiqua" w:hAnsi="Book Antiqua"/>
                              <w:i/>
                              <w:color w:val="000000"/>
                              <w:spacing w:val="20"/>
                              <w:sz w:val="28"/>
                            </w:rPr>
                            <w:t>Hubert Nowak</w:t>
                          </w:r>
                        </w:p>
                        <w:p w14:paraId="7D469B80" w14:textId="77777777" w:rsidR="00A36BBB" w:rsidRPr="00407F91" w:rsidRDefault="006E7B8E" w:rsidP="00266130">
                          <w:pPr>
                            <w:jc w:val="center"/>
                            <w:rPr>
                              <w:b/>
                              <w:color w:val="000000"/>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652F130" id="_x0000_t202" coordsize="21600,21600" o:spt="202" path="m,l,21600r21600,l21600,xe">
              <v:stroke joinstyle="miter"/>
              <v:path gradientshapeok="t" o:connecttype="rect"/>
            </v:shapetype>
            <v:shape id="Pole tekstowe 2" o:spid="_x0000_s1026" type="#_x0000_t202" style="position:absolute;margin-left:-35.6pt;margin-top:32.4pt;width:238.5pt;height:90.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" stroked="f">
              <v:textbox style="mso-fit-shape-to-text:t">
                <w:txbxContent>
                  <w:p w14:paraId="4D5E29D8" w14:textId="77777777" w:rsidR="00A36BBB" w:rsidRDefault="0043483E" w:rsidP="00B666D4">
                    <w:pPr>
                      <w:jc w:val="center"/>
                      <w:rPr>
                        <w:color w:val="000000"/>
                      </w:rPr>
                    </w:pPr>
                    <w:r>
                      <w:rPr>
                        <w:noProof/>
                        <w:color w:val="000000"/>
                      </w:rPr>
                      <w:drawing>
                        <wp:inline distT="0" distB="0" distL="0" distR="0" wp14:anchorId="44B934A8" wp14:editId="1025E122">
                          <wp:extent cx="794097" cy="785651"/>
                          <wp:effectExtent l="0" t="0" r="6350"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3992" cy="795441"/>
                                  </a:xfrm>
                                  <a:prstGeom prst="rect">
                                    <a:avLst/>
                                  </a:prstGeom>
                                  <a:noFill/>
                                  <a:ln>
                                    <a:noFill/>
                                  </a:ln>
                                </pic:spPr>
                              </pic:pic>
                            </a:graphicData>
                          </a:graphic>
                        </wp:inline>
                      </w:drawing>
                    </w:r>
                  </w:p>
                  <w:p w14:paraId="30781C8F" w14:textId="77777777" w:rsidR="00A36BBB" w:rsidRPr="0074461A" w:rsidRDefault="0074461A" w:rsidP="00630A85">
                    <w:pPr>
                      <w:jc w:val="center"/>
                      <w:rPr>
                        <w:rFonts w:ascii="Book Antiqua" w:hAnsi="Book Antiqua"/>
                        <w:color w:val="000000"/>
                      </w:rPr>
                    </w:pPr>
                    <w:r w:rsidRPr="0074461A">
                      <w:rPr>
                        <w:rFonts w:ascii="Book Antiqua" w:hAnsi="Book Antiqua"/>
                        <w:color w:val="000000"/>
                      </w:rPr>
                      <w:t>PREZES</w:t>
                    </w:r>
                  </w:p>
                  <w:p w14:paraId="0AEC72AB" w14:textId="77777777" w:rsidR="00630A85" w:rsidRDefault="0074461A" w:rsidP="00630A85">
                    <w:pPr>
                      <w:jc w:val="center"/>
                      <w:rPr>
                        <w:rFonts w:ascii="Book Antiqua" w:hAnsi="Book Antiqua"/>
                        <w:color w:val="000000"/>
                      </w:rPr>
                    </w:pPr>
                    <w:r w:rsidRPr="0074461A">
                      <w:rPr>
                        <w:rFonts w:ascii="Book Antiqua" w:hAnsi="Book Antiqua"/>
                        <w:color w:val="000000"/>
                      </w:rPr>
                      <w:t>URZ</w:t>
                    </w:r>
                    <w:r w:rsidRPr="0074461A">
                      <w:rPr>
                        <w:rFonts w:ascii="Book Antiqua" w:hAnsi="Book Antiqua" w:cs="Calibri"/>
                        <w:color w:val="000000"/>
                      </w:rPr>
                      <w:t>Ę</w:t>
                    </w:r>
                    <w:r w:rsidRPr="0074461A">
                      <w:rPr>
                        <w:rFonts w:ascii="Book Antiqua" w:hAnsi="Book Antiqua"/>
                        <w:color w:val="000000"/>
                      </w:rPr>
                      <w:t>DU ZAM</w:t>
                    </w:r>
                    <w:r w:rsidRPr="0074461A">
                      <w:rPr>
                        <w:rFonts w:ascii="Book Antiqua" w:hAnsi="Book Antiqua" w:cs="Agency FB"/>
                        <w:color w:val="000000"/>
                      </w:rPr>
                      <w:t>Ó</w:t>
                    </w:r>
                    <w:r w:rsidRPr="0074461A">
                      <w:rPr>
                        <w:rFonts w:ascii="Book Antiqua" w:hAnsi="Book Antiqua"/>
                        <w:color w:val="000000"/>
                      </w:rPr>
                      <w:t>WIE</w:t>
                    </w:r>
                    <w:r w:rsidRPr="0074461A">
                      <w:rPr>
                        <w:rFonts w:ascii="Book Antiqua" w:hAnsi="Book Antiqua" w:cs="Calibri"/>
                        <w:color w:val="000000"/>
                      </w:rPr>
                      <w:t>Ń</w:t>
                    </w:r>
                    <w:r w:rsidRPr="0074461A">
                      <w:rPr>
                        <w:rFonts w:ascii="Book Antiqua" w:hAnsi="Book Antiqua"/>
                        <w:color w:val="000000"/>
                      </w:rPr>
                      <w:t xml:space="preserve"> PUBLICZNYCH</w:t>
                    </w:r>
                  </w:p>
                  <w:p w14:paraId="2BF7BFFF" w14:textId="77777777" w:rsidR="00630A85" w:rsidRPr="00630A85" w:rsidRDefault="00630A85" w:rsidP="00630A85">
                    <w:pPr>
                      <w:jc w:val="center"/>
                      <w:rPr>
                        <w:rFonts w:ascii="Book Antiqua" w:hAnsi="Book Antiqua"/>
                        <w:i/>
                        <w:color w:val="000000"/>
                        <w:spacing w:val="20"/>
                        <w:sz w:val="6"/>
                      </w:rPr>
                    </w:pPr>
                  </w:p>
                  <w:p w14:paraId="5A8D641D" w14:textId="77777777" w:rsidR="00A36BBB" w:rsidRPr="0074461A" w:rsidRDefault="00D67847" w:rsidP="00630A85">
                    <w:pPr>
                      <w:jc w:val="center"/>
                      <w:rPr>
                        <w:rFonts w:ascii="Book Antiqua" w:hAnsi="Book Antiqua"/>
                        <w:i/>
                        <w:color w:val="000000"/>
                        <w:spacing w:val="20"/>
                        <w:sz w:val="28"/>
                      </w:rPr>
                    </w:pPr>
                    <w:r>
                      <w:rPr>
                        <w:rFonts w:ascii="Book Antiqua" w:hAnsi="Book Antiqua"/>
                        <w:i/>
                        <w:color w:val="000000"/>
                        <w:spacing w:val="20"/>
                        <w:sz w:val="28"/>
                      </w:rPr>
                      <w:t>Hubert Nowak</w:t>
                    </w:r>
                  </w:p>
                  <w:p w14:paraId="7D469B80" w14:textId="77777777" w:rsidR="00A36BBB" w:rsidRPr="00407F91" w:rsidRDefault="00000000" w:rsidP="00266130">
                    <w:pPr>
                      <w:jc w:val="center"/>
                      <w:rPr>
                        <w:b/>
                        <w:color w:val="000000"/>
                      </w:rPr>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733B51"/>
    <w:multiLevelType w:val="hybridMultilevel"/>
    <w:tmpl w:val="964C55A6"/>
    <w:lvl w:ilvl="0" w:tplc="2C5C141E">
      <w:start w:val="1"/>
      <w:numFmt w:val="decimal"/>
      <w:lvlText w:val="%1."/>
      <w:lvlJc w:val="left"/>
      <w:pPr>
        <w:tabs>
          <w:tab w:val="num" w:pos="720"/>
        </w:tabs>
        <w:ind w:left="720" w:hanging="360"/>
      </w:pPr>
      <w:rPr>
        <w:rFonts w:cs="Times New Roman"/>
      </w:rPr>
    </w:lvl>
    <w:lvl w:ilvl="1" w:tplc="0AB63AAE">
      <w:start w:val="1"/>
      <w:numFmt w:val="lowerLetter"/>
      <w:lvlText w:val="%2."/>
      <w:lvlJc w:val="left"/>
      <w:pPr>
        <w:tabs>
          <w:tab w:val="num" w:pos="1440"/>
        </w:tabs>
        <w:ind w:left="1440" w:hanging="360"/>
      </w:pPr>
      <w:rPr>
        <w:rFonts w:cs="Times New Roman"/>
      </w:rPr>
    </w:lvl>
    <w:lvl w:ilvl="2" w:tplc="9FAE3E18">
      <w:start w:val="1"/>
      <w:numFmt w:val="lowerRoman"/>
      <w:lvlText w:val="%3."/>
      <w:lvlJc w:val="right"/>
      <w:pPr>
        <w:tabs>
          <w:tab w:val="num" w:pos="2160"/>
        </w:tabs>
        <w:ind w:left="2160" w:hanging="180"/>
      </w:pPr>
      <w:rPr>
        <w:rFonts w:cs="Times New Roman"/>
      </w:rPr>
    </w:lvl>
    <w:lvl w:ilvl="3" w:tplc="92CC360E">
      <w:start w:val="1"/>
      <w:numFmt w:val="decimal"/>
      <w:lvlText w:val="%4."/>
      <w:lvlJc w:val="left"/>
      <w:pPr>
        <w:tabs>
          <w:tab w:val="num" w:pos="2880"/>
        </w:tabs>
        <w:ind w:left="2880" w:hanging="360"/>
      </w:pPr>
      <w:rPr>
        <w:rFonts w:cs="Times New Roman"/>
      </w:rPr>
    </w:lvl>
    <w:lvl w:ilvl="4" w:tplc="03E4B1FE">
      <w:start w:val="1"/>
      <w:numFmt w:val="lowerLetter"/>
      <w:lvlText w:val="%5."/>
      <w:lvlJc w:val="left"/>
      <w:pPr>
        <w:tabs>
          <w:tab w:val="num" w:pos="3600"/>
        </w:tabs>
        <w:ind w:left="3600" w:hanging="360"/>
      </w:pPr>
      <w:rPr>
        <w:rFonts w:cs="Times New Roman"/>
      </w:rPr>
    </w:lvl>
    <w:lvl w:ilvl="5" w:tplc="0B60E02C">
      <w:start w:val="1"/>
      <w:numFmt w:val="lowerRoman"/>
      <w:lvlText w:val="%6."/>
      <w:lvlJc w:val="right"/>
      <w:pPr>
        <w:tabs>
          <w:tab w:val="num" w:pos="4320"/>
        </w:tabs>
        <w:ind w:left="4320" w:hanging="180"/>
      </w:pPr>
      <w:rPr>
        <w:rFonts w:cs="Times New Roman"/>
      </w:rPr>
    </w:lvl>
    <w:lvl w:ilvl="6" w:tplc="A44449F2">
      <w:start w:val="1"/>
      <w:numFmt w:val="decimal"/>
      <w:lvlText w:val="%7."/>
      <w:lvlJc w:val="left"/>
      <w:pPr>
        <w:tabs>
          <w:tab w:val="num" w:pos="5040"/>
        </w:tabs>
        <w:ind w:left="5040" w:hanging="360"/>
      </w:pPr>
      <w:rPr>
        <w:rFonts w:cs="Times New Roman"/>
      </w:rPr>
    </w:lvl>
    <w:lvl w:ilvl="7" w:tplc="181AE41C">
      <w:start w:val="1"/>
      <w:numFmt w:val="lowerLetter"/>
      <w:lvlText w:val="%8."/>
      <w:lvlJc w:val="left"/>
      <w:pPr>
        <w:tabs>
          <w:tab w:val="num" w:pos="5760"/>
        </w:tabs>
        <w:ind w:left="5760" w:hanging="360"/>
      </w:pPr>
      <w:rPr>
        <w:rFonts w:cs="Times New Roman"/>
      </w:rPr>
    </w:lvl>
    <w:lvl w:ilvl="8" w:tplc="97E47100">
      <w:start w:val="1"/>
      <w:numFmt w:val="lowerRoman"/>
      <w:lvlText w:val="%9."/>
      <w:lvlJc w:val="right"/>
      <w:pPr>
        <w:tabs>
          <w:tab w:val="num" w:pos="6480"/>
        </w:tabs>
        <w:ind w:left="6480" w:hanging="180"/>
      </w:pPr>
      <w:rPr>
        <w:rFonts w:cs="Times New Roman"/>
      </w:rPr>
    </w:lvl>
  </w:abstractNum>
  <w:abstractNum w:abstractNumId="1" w15:restartNumberingAfterBreak="0">
    <w:nsid w:val="10850036"/>
    <w:multiLevelType w:val="hybridMultilevel"/>
    <w:tmpl w:val="650A9F02"/>
    <w:lvl w:ilvl="0" w:tplc="B3DED1C6">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4627D9"/>
    <w:multiLevelType w:val="hybridMultilevel"/>
    <w:tmpl w:val="8DC069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6220F5E"/>
    <w:multiLevelType w:val="hybridMultilevel"/>
    <w:tmpl w:val="54640F68"/>
    <w:lvl w:ilvl="0" w:tplc="803ABF3E">
      <w:start w:val="1"/>
      <w:numFmt w:val="decimal"/>
      <w:lvlText w:val="%1."/>
      <w:lvlJc w:val="left"/>
      <w:pPr>
        <w:tabs>
          <w:tab w:val="num" w:pos="720"/>
        </w:tabs>
        <w:ind w:left="720" w:hanging="360"/>
      </w:pPr>
      <w:rPr>
        <w:rFonts w:cs="Times New Roman"/>
      </w:rPr>
    </w:lvl>
    <w:lvl w:ilvl="1" w:tplc="5130FB1E">
      <w:start w:val="1"/>
      <w:numFmt w:val="lowerLetter"/>
      <w:lvlText w:val="%2."/>
      <w:lvlJc w:val="left"/>
      <w:pPr>
        <w:tabs>
          <w:tab w:val="num" w:pos="1440"/>
        </w:tabs>
        <w:ind w:left="1440" w:hanging="360"/>
      </w:pPr>
      <w:rPr>
        <w:rFonts w:cs="Times New Roman"/>
      </w:rPr>
    </w:lvl>
    <w:lvl w:ilvl="2" w:tplc="57F61162">
      <w:start w:val="1"/>
      <w:numFmt w:val="lowerRoman"/>
      <w:lvlText w:val="%3."/>
      <w:lvlJc w:val="right"/>
      <w:pPr>
        <w:tabs>
          <w:tab w:val="num" w:pos="2160"/>
        </w:tabs>
        <w:ind w:left="2160" w:hanging="180"/>
      </w:pPr>
      <w:rPr>
        <w:rFonts w:cs="Times New Roman"/>
      </w:rPr>
    </w:lvl>
    <w:lvl w:ilvl="3" w:tplc="2AD0B65C">
      <w:start w:val="1"/>
      <w:numFmt w:val="decimal"/>
      <w:lvlText w:val="%4."/>
      <w:lvlJc w:val="left"/>
      <w:pPr>
        <w:tabs>
          <w:tab w:val="num" w:pos="2880"/>
        </w:tabs>
        <w:ind w:left="2880" w:hanging="360"/>
      </w:pPr>
      <w:rPr>
        <w:rFonts w:cs="Times New Roman"/>
      </w:rPr>
    </w:lvl>
    <w:lvl w:ilvl="4" w:tplc="889896FC">
      <w:start w:val="1"/>
      <w:numFmt w:val="lowerLetter"/>
      <w:lvlText w:val="%5."/>
      <w:lvlJc w:val="left"/>
      <w:pPr>
        <w:tabs>
          <w:tab w:val="num" w:pos="3600"/>
        </w:tabs>
        <w:ind w:left="3600" w:hanging="360"/>
      </w:pPr>
      <w:rPr>
        <w:rFonts w:cs="Times New Roman"/>
      </w:rPr>
    </w:lvl>
    <w:lvl w:ilvl="5" w:tplc="CC66EC04">
      <w:start w:val="1"/>
      <w:numFmt w:val="lowerRoman"/>
      <w:lvlText w:val="%6."/>
      <w:lvlJc w:val="right"/>
      <w:pPr>
        <w:tabs>
          <w:tab w:val="num" w:pos="4320"/>
        </w:tabs>
        <w:ind w:left="4320" w:hanging="180"/>
      </w:pPr>
      <w:rPr>
        <w:rFonts w:cs="Times New Roman"/>
      </w:rPr>
    </w:lvl>
    <w:lvl w:ilvl="6" w:tplc="F0F0D2B4">
      <w:start w:val="1"/>
      <w:numFmt w:val="decimal"/>
      <w:lvlText w:val="%7."/>
      <w:lvlJc w:val="left"/>
      <w:pPr>
        <w:tabs>
          <w:tab w:val="num" w:pos="5040"/>
        </w:tabs>
        <w:ind w:left="5040" w:hanging="360"/>
      </w:pPr>
      <w:rPr>
        <w:rFonts w:cs="Times New Roman"/>
      </w:rPr>
    </w:lvl>
    <w:lvl w:ilvl="7" w:tplc="F4A2AF98">
      <w:start w:val="1"/>
      <w:numFmt w:val="lowerLetter"/>
      <w:lvlText w:val="%8."/>
      <w:lvlJc w:val="left"/>
      <w:pPr>
        <w:tabs>
          <w:tab w:val="num" w:pos="5760"/>
        </w:tabs>
        <w:ind w:left="5760" w:hanging="360"/>
      </w:pPr>
      <w:rPr>
        <w:rFonts w:cs="Times New Roman"/>
      </w:rPr>
    </w:lvl>
    <w:lvl w:ilvl="8" w:tplc="CB120344">
      <w:start w:val="1"/>
      <w:numFmt w:val="lowerRoman"/>
      <w:lvlText w:val="%9."/>
      <w:lvlJc w:val="right"/>
      <w:pPr>
        <w:tabs>
          <w:tab w:val="num" w:pos="6480"/>
        </w:tabs>
        <w:ind w:left="6480" w:hanging="180"/>
      </w:pPr>
      <w:rPr>
        <w:rFonts w:cs="Times New Roman"/>
      </w:rPr>
    </w:lvl>
  </w:abstractNum>
  <w:abstractNum w:abstractNumId="4" w15:restartNumberingAfterBreak="0">
    <w:nsid w:val="30CE18EE"/>
    <w:multiLevelType w:val="hybridMultilevel"/>
    <w:tmpl w:val="312826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398587B"/>
    <w:multiLevelType w:val="hybridMultilevel"/>
    <w:tmpl w:val="AE5A50C6"/>
    <w:lvl w:ilvl="0" w:tplc="2E282CE2">
      <w:start w:val="1"/>
      <w:numFmt w:val="decimal"/>
      <w:lvlText w:val="%1)"/>
      <w:lvlJc w:val="left"/>
      <w:pPr>
        <w:ind w:left="360" w:hanging="360"/>
      </w:pPr>
      <w:rPr>
        <w:rFonts w:hint="default"/>
        <w:sz w:val="16"/>
        <w:szCs w:val="16"/>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5"/>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6"/>
  <w:drawingGridVerticalSpacing w:val="6"/>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244"/>
    <w:rsid w:val="0005221E"/>
    <w:rsid w:val="000774F0"/>
    <w:rsid w:val="0008243D"/>
    <w:rsid w:val="000A0DEE"/>
    <w:rsid w:val="000A4D1F"/>
    <w:rsid w:val="000A6EE0"/>
    <w:rsid w:val="000C2DD0"/>
    <w:rsid w:val="000D61B5"/>
    <w:rsid w:val="000F3C28"/>
    <w:rsid w:val="00102845"/>
    <w:rsid w:val="0011014E"/>
    <w:rsid w:val="001131FB"/>
    <w:rsid w:val="00134C0D"/>
    <w:rsid w:val="00164937"/>
    <w:rsid w:val="00167E84"/>
    <w:rsid w:val="001721B9"/>
    <w:rsid w:val="00175CD6"/>
    <w:rsid w:val="001B1069"/>
    <w:rsid w:val="001B1AA6"/>
    <w:rsid w:val="001D3754"/>
    <w:rsid w:val="001E749D"/>
    <w:rsid w:val="001F292B"/>
    <w:rsid w:val="0020161A"/>
    <w:rsid w:val="002024FF"/>
    <w:rsid w:val="00203B97"/>
    <w:rsid w:val="00205F3D"/>
    <w:rsid w:val="00214F5D"/>
    <w:rsid w:val="00231750"/>
    <w:rsid w:val="00240973"/>
    <w:rsid w:val="00243593"/>
    <w:rsid w:val="002661DD"/>
    <w:rsid w:val="002A0E47"/>
    <w:rsid w:val="002B3DDF"/>
    <w:rsid w:val="002B6B55"/>
    <w:rsid w:val="002C5396"/>
    <w:rsid w:val="002C77CD"/>
    <w:rsid w:val="002C7EA2"/>
    <w:rsid w:val="002E2B2A"/>
    <w:rsid w:val="002E4216"/>
    <w:rsid w:val="002E5A79"/>
    <w:rsid w:val="002F111F"/>
    <w:rsid w:val="00300117"/>
    <w:rsid w:val="00306C5D"/>
    <w:rsid w:val="00314B51"/>
    <w:rsid w:val="00315F65"/>
    <w:rsid w:val="003477F1"/>
    <w:rsid w:val="00352328"/>
    <w:rsid w:val="003946DC"/>
    <w:rsid w:val="003A4662"/>
    <w:rsid w:val="003E0089"/>
    <w:rsid w:val="003F1EE9"/>
    <w:rsid w:val="00402C87"/>
    <w:rsid w:val="004258B8"/>
    <w:rsid w:val="004276B7"/>
    <w:rsid w:val="0043483E"/>
    <w:rsid w:val="00496753"/>
    <w:rsid w:val="004A56C4"/>
    <w:rsid w:val="004C1B65"/>
    <w:rsid w:val="00514177"/>
    <w:rsid w:val="00525749"/>
    <w:rsid w:val="005323E7"/>
    <w:rsid w:val="005375E7"/>
    <w:rsid w:val="00543A3F"/>
    <w:rsid w:val="00543D9F"/>
    <w:rsid w:val="00547DFD"/>
    <w:rsid w:val="005570DB"/>
    <w:rsid w:val="00557C24"/>
    <w:rsid w:val="00560178"/>
    <w:rsid w:val="00563332"/>
    <w:rsid w:val="00564988"/>
    <w:rsid w:val="00564ADA"/>
    <w:rsid w:val="005809E9"/>
    <w:rsid w:val="00590E64"/>
    <w:rsid w:val="005A2501"/>
    <w:rsid w:val="005B0CFB"/>
    <w:rsid w:val="005B2B85"/>
    <w:rsid w:val="005C16DA"/>
    <w:rsid w:val="005C52CE"/>
    <w:rsid w:val="005D60AC"/>
    <w:rsid w:val="005E322A"/>
    <w:rsid w:val="005F0FD4"/>
    <w:rsid w:val="005F6C18"/>
    <w:rsid w:val="00607C04"/>
    <w:rsid w:val="00612CFF"/>
    <w:rsid w:val="00613491"/>
    <w:rsid w:val="006155CC"/>
    <w:rsid w:val="00626DC6"/>
    <w:rsid w:val="00630A85"/>
    <w:rsid w:val="00631C80"/>
    <w:rsid w:val="0063793F"/>
    <w:rsid w:val="00641509"/>
    <w:rsid w:val="006617C1"/>
    <w:rsid w:val="00662C41"/>
    <w:rsid w:val="0067374A"/>
    <w:rsid w:val="00695698"/>
    <w:rsid w:val="006C62F7"/>
    <w:rsid w:val="006D38F8"/>
    <w:rsid w:val="006E7B8E"/>
    <w:rsid w:val="006F36E8"/>
    <w:rsid w:val="00705D0E"/>
    <w:rsid w:val="00707402"/>
    <w:rsid w:val="00725958"/>
    <w:rsid w:val="007374FB"/>
    <w:rsid w:val="0074461A"/>
    <w:rsid w:val="0077744D"/>
    <w:rsid w:val="007A3028"/>
    <w:rsid w:val="007D1F47"/>
    <w:rsid w:val="007E29FE"/>
    <w:rsid w:val="007E4B18"/>
    <w:rsid w:val="007F1D72"/>
    <w:rsid w:val="00800E13"/>
    <w:rsid w:val="00811D52"/>
    <w:rsid w:val="00814931"/>
    <w:rsid w:val="00814A73"/>
    <w:rsid w:val="008172B9"/>
    <w:rsid w:val="00826091"/>
    <w:rsid w:val="0084089A"/>
    <w:rsid w:val="0084546E"/>
    <w:rsid w:val="00865892"/>
    <w:rsid w:val="00873D94"/>
    <w:rsid w:val="00874137"/>
    <w:rsid w:val="008867E8"/>
    <w:rsid w:val="008A42ED"/>
    <w:rsid w:val="008A5D3F"/>
    <w:rsid w:val="008B296B"/>
    <w:rsid w:val="008B581E"/>
    <w:rsid w:val="008C5AC9"/>
    <w:rsid w:val="008E0C99"/>
    <w:rsid w:val="008E2E67"/>
    <w:rsid w:val="008E32D6"/>
    <w:rsid w:val="008E6227"/>
    <w:rsid w:val="00903244"/>
    <w:rsid w:val="009246BD"/>
    <w:rsid w:val="00927E6C"/>
    <w:rsid w:val="0095587F"/>
    <w:rsid w:val="009704EF"/>
    <w:rsid w:val="0098733D"/>
    <w:rsid w:val="0099511A"/>
    <w:rsid w:val="009B4564"/>
    <w:rsid w:val="009C20F0"/>
    <w:rsid w:val="009D4E22"/>
    <w:rsid w:val="009E7692"/>
    <w:rsid w:val="009F69CE"/>
    <w:rsid w:val="00A00094"/>
    <w:rsid w:val="00A17CB0"/>
    <w:rsid w:val="00A3686D"/>
    <w:rsid w:val="00A424F4"/>
    <w:rsid w:val="00A46FF3"/>
    <w:rsid w:val="00A512B7"/>
    <w:rsid w:val="00A72BBC"/>
    <w:rsid w:val="00A82695"/>
    <w:rsid w:val="00AA3B1D"/>
    <w:rsid w:val="00AC6248"/>
    <w:rsid w:val="00AD39EF"/>
    <w:rsid w:val="00AF7894"/>
    <w:rsid w:val="00B01CA8"/>
    <w:rsid w:val="00B064E4"/>
    <w:rsid w:val="00B0672F"/>
    <w:rsid w:val="00B067A5"/>
    <w:rsid w:val="00B15D4D"/>
    <w:rsid w:val="00B167D2"/>
    <w:rsid w:val="00B301F2"/>
    <w:rsid w:val="00B44A43"/>
    <w:rsid w:val="00B66CDF"/>
    <w:rsid w:val="00B77381"/>
    <w:rsid w:val="00BA5C8F"/>
    <w:rsid w:val="00BB365B"/>
    <w:rsid w:val="00BE2A9F"/>
    <w:rsid w:val="00BE6D4C"/>
    <w:rsid w:val="00BF1ECF"/>
    <w:rsid w:val="00C02A3F"/>
    <w:rsid w:val="00C2237D"/>
    <w:rsid w:val="00C5174A"/>
    <w:rsid w:val="00C65B9C"/>
    <w:rsid w:val="00C72DA7"/>
    <w:rsid w:val="00C82EB7"/>
    <w:rsid w:val="00CC7CB6"/>
    <w:rsid w:val="00CE6C85"/>
    <w:rsid w:val="00CE7461"/>
    <w:rsid w:val="00D45AEF"/>
    <w:rsid w:val="00D511C6"/>
    <w:rsid w:val="00D5126D"/>
    <w:rsid w:val="00D67847"/>
    <w:rsid w:val="00DB0E1B"/>
    <w:rsid w:val="00DB2CC5"/>
    <w:rsid w:val="00DD52BC"/>
    <w:rsid w:val="00DD7E58"/>
    <w:rsid w:val="00DE3875"/>
    <w:rsid w:val="00DF377E"/>
    <w:rsid w:val="00E126D4"/>
    <w:rsid w:val="00E377E8"/>
    <w:rsid w:val="00E42B66"/>
    <w:rsid w:val="00E42DE8"/>
    <w:rsid w:val="00E859ED"/>
    <w:rsid w:val="00E902DE"/>
    <w:rsid w:val="00E952FC"/>
    <w:rsid w:val="00E96453"/>
    <w:rsid w:val="00EA79D7"/>
    <w:rsid w:val="00ED04D2"/>
    <w:rsid w:val="00ED6DE3"/>
    <w:rsid w:val="00EE6BB6"/>
    <w:rsid w:val="00EF163D"/>
    <w:rsid w:val="00F22C35"/>
    <w:rsid w:val="00F232E6"/>
    <w:rsid w:val="00F23715"/>
    <w:rsid w:val="00F314EA"/>
    <w:rsid w:val="00F55EE7"/>
    <w:rsid w:val="00F579FF"/>
    <w:rsid w:val="00FB61DB"/>
    <w:rsid w:val="00FC78D0"/>
    <w:rsid w:val="00FF2A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9FD32E"/>
  <w15:docId w15:val="{EB31386C-D289-47C1-BACC-EF2E28DEF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27E6C"/>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character" w:customStyle="1" w:styleId="NagwekZnak">
    <w:name w:val="Nagłówek Znak"/>
    <w:link w:val="Nagwek"/>
    <w:uiPriority w:val="99"/>
    <w:semiHidden/>
    <w:locked/>
    <w:rPr>
      <w:rFonts w:cs="Times New Roman"/>
      <w:sz w:val="24"/>
      <w:szCs w:val="24"/>
    </w:rPr>
  </w:style>
  <w:style w:type="paragraph" w:styleId="Stopka">
    <w:name w:val="footer"/>
    <w:basedOn w:val="Normalny"/>
    <w:link w:val="StopkaZnak"/>
    <w:uiPriority w:val="99"/>
    <w:rsid w:val="00777876"/>
    <w:pPr>
      <w:tabs>
        <w:tab w:val="center" w:pos="4536"/>
        <w:tab w:val="right" w:pos="9072"/>
      </w:tabs>
    </w:pPr>
  </w:style>
  <w:style w:type="character" w:customStyle="1" w:styleId="StopkaZnak">
    <w:name w:val="Stopka Znak"/>
    <w:link w:val="Stopka"/>
    <w:uiPriority w:val="99"/>
    <w:semiHidden/>
    <w:locked/>
    <w:rPr>
      <w:rFonts w:cs="Times New Roman"/>
      <w:sz w:val="24"/>
      <w:szCs w:val="24"/>
    </w:rPr>
  </w:style>
  <w:style w:type="paragraph" w:styleId="Mapadokumentu">
    <w:name w:val="Document Map"/>
    <w:basedOn w:val="Normalny"/>
    <w:link w:val="MapadokumentuZnak"/>
    <w:uiPriority w:val="99"/>
    <w:semiHidden/>
    <w:rsid w:val="0077374E"/>
    <w:pPr>
      <w:shd w:val="clear" w:color="auto" w:fill="000080"/>
    </w:pPr>
    <w:rPr>
      <w:rFonts w:ascii="Tahoma" w:hAnsi="Tahoma" w:cs="Tahoma"/>
      <w:sz w:val="20"/>
      <w:szCs w:val="20"/>
    </w:rPr>
  </w:style>
  <w:style w:type="character" w:customStyle="1" w:styleId="MapadokumentuZnak">
    <w:name w:val="Mapa dokumentu Znak"/>
    <w:link w:val="Mapadokumentu"/>
    <w:uiPriority w:val="99"/>
    <w:semiHidden/>
    <w:locked/>
    <w:rPr>
      <w:rFonts w:cs="Times New Roman"/>
      <w:sz w:val="2"/>
    </w:rPr>
  </w:style>
  <w:style w:type="paragraph" w:styleId="Tekstdymka">
    <w:name w:val="Balloon Text"/>
    <w:basedOn w:val="Normalny"/>
    <w:link w:val="TekstdymkaZnak"/>
    <w:uiPriority w:val="99"/>
    <w:semiHidden/>
    <w:rsid w:val="00343996"/>
    <w:rPr>
      <w:rFonts w:ascii="Tahoma" w:hAnsi="Tahoma" w:cs="Tahoma"/>
      <w:sz w:val="16"/>
      <w:szCs w:val="16"/>
    </w:rPr>
  </w:style>
  <w:style w:type="character" w:customStyle="1" w:styleId="TekstdymkaZnak">
    <w:name w:val="Tekst dymka Znak"/>
    <w:link w:val="Tekstdymka"/>
    <w:uiPriority w:val="99"/>
    <w:semiHidden/>
    <w:locked/>
    <w:rPr>
      <w:rFonts w:cs="Times New Roman"/>
      <w:sz w:val="2"/>
    </w:rPr>
  </w:style>
  <w:style w:type="character" w:styleId="Numerstrony">
    <w:name w:val="page number"/>
    <w:uiPriority w:val="99"/>
    <w:rsid w:val="00CB0F0D"/>
    <w:rPr>
      <w:rFonts w:cs="Times New Roman"/>
    </w:rPr>
  </w:style>
  <w:style w:type="character" w:styleId="Pogrubienie">
    <w:name w:val="Strong"/>
    <w:uiPriority w:val="99"/>
    <w:qFormat/>
    <w:rsid w:val="00EF30F0"/>
    <w:rPr>
      <w:rFonts w:cs="Times New Roman"/>
      <w:b/>
    </w:rPr>
  </w:style>
  <w:style w:type="table" w:styleId="Tabela-Siatka">
    <w:name w:val="Table Grid"/>
    <w:basedOn w:val="Standardowy"/>
    <w:uiPriority w:val="99"/>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865892"/>
    <w:rPr>
      <w:color w:val="0000FF" w:themeColor="hyperlink"/>
      <w:u w:val="single"/>
    </w:rPr>
  </w:style>
  <w:style w:type="paragraph" w:styleId="Tekstprzypisudolnego">
    <w:name w:val="footnote text"/>
    <w:basedOn w:val="Normalny"/>
    <w:link w:val="TekstprzypisudolnegoZnak"/>
    <w:uiPriority w:val="99"/>
    <w:semiHidden/>
    <w:unhideWhenUsed/>
    <w:rsid w:val="00F232E6"/>
    <w:rPr>
      <w:sz w:val="20"/>
      <w:szCs w:val="20"/>
    </w:rPr>
  </w:style>
  <w:style w:type="character" w:customStyle="1" w:styleId="TekstprzypisudolnegoZnak">
    <w:name w:val="Tekst przypisu dolnego Znak"/>
    <w:basedOn w:val="Domylnaczcionkaakapitu"/>
    <w:link w:val="Tekstprzypisudolnego"/>
    <w:uiPriority w:val="99"/>
    <w:semiHidden/>
    <w:rsid w:val="00F232E6"/>
  </w:style>
  <w:style w:type="character" w:styleId="Odwoanieprzypisudolnego">
    <w:name w:val="footnote reference"/>
    <w:basedOn w:val="Domylnaczcionkaakapitu"/>
    <w:uiPriority w:val="99"/>
    <w:semiHidden/>
    <w:rsid w:val="00F232E6"/>
    <w:rPr>
      <w:rFonts w:cs="Times New Roman"/>
      <w:vertAlign w:val="superscript"/>
    </w:rPr>
  </w:style>
  <w:style w:type="paragraph" w:styleId="Akapitzlist">
    <w:name w:val="List Paragraph"/>
    <w:basedOn w:val="Normalny"/>
    <w:uiPriority w:val="34"/>
    <w:qFormat/>
    <w:rsid w:val="00607C04"/>
    <w:pPr>
      <w:ind w:left="720"/>
      <w:contextualSpacing/>
    </w:pPr>
  </w:style>
  <w:style w:type="character" w:customStyle="1" w:styleId="markedcontent">
    <w:name w:val="markedcontent"/>
    <w:basedOn w:val="Domylnaczcionkaakapitu"/>
    <w:rsid w:val="00927E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sekretariat@uzp.gov.pl"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uzp.gov.p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65DC6-3C56-4500-844B-FF44727EF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684</Words>
  <Characters>4498</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Miasto, 15 maja 2008 r</vt:lpstr>
    </vt:vector>
  </TitlesOfParts>
  <Company>MRR</Company>
  <LinksUpToDate>false</LinksUpToDate>
  <CharactersWithSpaces>5172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Miasto, 15 maja 2008 r</dc:title>
  <dc:creator>Soon</dc:creator>
  <cp:lastModifiedBy>Marczak-Redecka Joanna</cp:lastModifiedBy>
  <cp:revision>2</cp:revision>
  <cp:lastPrinted>2019-12-03T13:14:00Z</cp:lastPrinted>
  <dcterms:created xsi:type="dcterms:W3CDTF">2022-11-28T11:33:00Z</dcterms:created>
  <dcterms:modified xsi:type="dcterms:W3CDTF">2022-11-28T11:33:00Z</dcterms:modified>
</cp:coreProperties>
</file>